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316F6" w14:textId="083497D9" w:rsidR="0047783A" w:rsidRPr="00B5440B" w:rsidRDefault="0047783A" w:rsidP="00035D61">
      <w:pPr>
        <w:pStyle w:val="Balk1"/>
        <w:keepNext w:val="0"/>
        <w:numPr>
          <w:ilvl w:val="0"/>
          <w:numId w:val="0"/>
        </w:numPr>
        <w:jc w:val="center"/>
        <w:rPr>
          <w:rFonts w:ascii="Times New Roman" w:hAnsi="Times New Roman"/>
          <w:iCs/>
          <w:sz w:val="28"/>
          <w:szCs w:val="28"/>
          <w:lang w:val="en-GB"/>
        </w:rPr>
      </w:pPr>
      <w:bookmarkStart w:id="0" w:name="_Toc42488096"/>
      <w:r w:rsidRPr="00B5440B">
        <w:rPr>
          <w:rFonts w:ascii="Times New Roman" w:hAnsi="Times New Roman"/>
          <w:iCs/>
          <w:sz w:val="28"/>
          <w:szCs w:val="28"/>
          <w:lang w:val="en-GB"/>
        </w:rPr>
        <w:t>SPECIAL CONDITIONS</w:t>
      </w:r>
      <w:bookmarkEnd w:id="0"/>
      <w:r w:rsidR="003F3783" w:rsidRPr="00B5440B">
        <w:rPr>
          <w:rFonts w:ascii="Times New Roman" w:hAnsi="Times New Roman"/>
          <w:iCs/>
          <w:sz w:val="28"/>
          <w:szCs w:val="28"/>
          <w:lang w:val="en-GB"/>
        </w:rPr>
        <w:t xml:space="preserve"> FOR EUROPEAN UNION EXTERNAL ACTIONS</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sidRPr="00B5440B">
        <w:rPr>
          <w:rFonts w:ascii="Times New Roman Bold" w:hAnsi="Times New Roman Bold"/>
          <w:b/>
          <w:smallCaps/>
          <w:sz w:val="28"/>
          <w:szCs w:val="28"/>
        </w:rPr>
        <w:t>Contents</w:t>
      </w:r>
    </w:p>
    <w:p w14:paraId="1B4ECA1C" w14:textId="3317773A" w:rsidR="00317D86" w:rsidRPr="003D6B6C" w:rsidRDefault="0047783A" w:rsidP="0047783A">
      <w:pPr>
        <w:jc w:val="both"/>
        <w:rPr>
          <w:rFonts w:ascii="Times New Roman" w:hAnsi="Times New Roman"/>
          <w:sz w:val="22"/>
          <w:szCs w:val="22"/>
        </w:rPr>
      </w:pPr>
      <w:r w:rsidRPr="003D6B6C">
        <w:rPr>
          <w:rFonts w:ascii="Times New Roman" w:hAnsi="Times New Roman"/>
          <w:sz w:val="22"/>
          <w:szCs w:val="22"/>
        </w:rPr>
        <w:t>These conditions amplify and supplement</w:t>
      </w:r>
      <w:r w:rsidR="00317D86">
        <w:rPr>
          <w:rFonts w:ascii="Times New Roman" w:hAnsi="Times New Roman"/>
          <w:sz w:val="22"/>
          <w:szCs w:val="22"/>
        </w:rPr>
        <w:t xml:space="preserve"> </w:t>
      </w:r>
      <w:r w:rsidRPr="003D6B6C">
        <w:rPr>
          <w:rFonts w:ascii="Times New Roman" w:hAnsi="Times New Roman"/>
          <w:sz w:val="22"/>
          <w:szCs w:val="22"/>
        </w:rPr>
        <w:t xml:space="preserve">the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governing the </w:t>
      </w:r>
      <w:r w:rsidR="00154A06">
        <w:rPr>
          <w:rFonts w:ascii="Times New Roman" w:hAnsi="Times New Roman"/>
          <w:sz w:val="22"/>
          <w:szCs w:val="22"/>
        </w:rPr>
        <w:t>c</w:t>
      </w:r>
      <w:r w:rsidR="0097513D" w:rsidRPr="003D6B6C">
        <w:rPr>
          <w:rFonts w:ascii="Times New Roman" w:hAnsi="Times New Roman"/>
          <w:sz w:val="22"/>
          <w:szCs w:val="22"/>
        </w:rPr>
        <w:t>ontract</w:t>
      </w:r>
      <w:r w:rsidRPr="003D6B6C">
        <w:rPr>
          <w:rFonts w:ascii="Times New Roman" w:hAnsi="Times New Roman"/>
          <w:sz w:val="22"/>
          <w:szCs w:val="22"/>
        </w:rPr>
        <w:t>.</w:t>
      </w:r>
      <w:r w:rsidR="00317D86">
        <w:rPr>
          <w:rFonts w:ascii="Times New Roman" w:hAnsi="Times New Roman"/>
          <w:sz w:val="22"/>
          <w:szCs w:val="22"/>
        </w:rPr>
        <w:t xml:space="preserve"> </w:t>
      </w:r>
      <w:r w:rsidRPr="003D6B6C">
        <w:rPr>
          <w:rFonts w:ascii="Times New Roman" w:hAnsi="Times New Roman"/>
          <w:sz w:val="22"/>
          <w:szCs w:val="22"/>
        </w:rPr>
        <w:t xml:space="preserve">Unless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provide otherwise, those </w:t>
      </w:r>
      <w:r w:rsidR="00154A06">
        <w:rPr>
          <w:rFonts w:ascii="Times New Roman" w:hAnsi="Times New Roman"/>
          <w:sz w:val="22"/>
          <w:szCs w:val="22"/>
        </w:rPr>
        <w:t>g</w:t>
      </w:r>
      <w:r w:rsidRPr="003D6B6C">
        <w:rPr>
          <w:rFonts w:ascii="Times New Roman" w:hAnsi="Times New Roman"/>
          <w:sz w:val="22"/>
          <w:szCs w:val="22"/>
        </w:rPr>
        <w:t xml:space="preserve">eneral </w:t>
      </w:r>
      <w:r w:rsidR="00154A06">
        <w:rPr>
          <w:rFonts w:ascii="Times New Roman" w:hAnsi="Times New Roman"/>
          <w:sz w:val="22"/>
          <w:szCs w:val="22"/>
        </w:rPr>
        <w:t>c</w:t>
      </w:r>
      <w:r w:rsidRPr="003D6B6C">
        <w:rPr>
          <w:rFonts w:ascii="Times New Roman" w:hAnsi="Times New Roman"/>
          <w:sz w:val="22"/>
          <w:szCs w:val="22"/>
        </w:rPr>
        <w:t xml:space="preserve">onditions remain fully applicable.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s</w:t>
      </w:r>
      <w:r w:rsidRPr="003D6B6C">
        <w:rPr>
          <w:rFonts w:ascii="Times New Roman" w:hAnsi="Times New Roman"/>
          <w:sz w:val="22"/>
          <w:szCs w:val="22"/>
        </w:rPr>
        <w:t xml:space="preserve">pecial </w:t>
      </w:r>
      <w:r w:rsidR="00154A06">
        <w:rPr>
          <w:rFonts w:ascii="Times New Roman" w:hAnsi="Times New Roman"/>
          <w:sz w:val="22"/>
          <w:szCs w:val="22"/>
        </w:rPr>
        <w:t>c</w:t>
      </w:r>
      <w:r w:rsidRPr="003D6B6C">
        <w:rPr>
          <w:rFonts w:ascii="Times New Roman" w:hAnsi="Times New Roman"/>
          <w:sz w:val="22"/>
          <w:szCs w:val="22"/>
        </w:rPr>
        <w:t xml:space="preserve">onditions is not consecutive but follows the numbering of the </w:t>
      </w:r>
      <w:r w:rsidR="00154A06">
        <w:rPr>
          <w:rFonts w:ascii="Times New Roman" w:hAnsi="Times New Roman"/>
          <w:sz w:val="22"/>
          <w:szCs w:val="22"/>
        </w:rPr>
        <w:t>a</w:t>
      </w:r>
      <w:r w:rsidRPr="003D6B6C">
        <w:rPr>
          <w:rFonts w:ascii="Times New Roman" w:hAnsi="Times New Roman"/>
          <w:sz w:val="22"/>
          <w:szCs w:val="22"/>
        </w:rPr>
        <w:t xml:space="preserve">rticles of the </w:t>
      </w:r>
      <w:r w:rsidR="00154A06">
        <w:rPr>
          <w:rFonts w:ascii="Times New Roman" w:hAnsi="Times New Roman"/>
          <w:sz w:val="22"/>
          <w:szCs w:val="22"/>
        </w:rPr>
        <w:t>g</w:t>
      </w:r>
      <w:r w:rsidRPr="003D6B6C">
        <w:rPr>
          <w:rFonts w:ascii="Times New Roman" w:hAnsi="Times New Roman"/>
          <w:sz w:val="22"/>
          <w:szCs w:val="22"/>
        </w:rPr>
        <w:t xml:space="preserve">eneral </w:t>
      </w:r>
      <w:bookmarkStart w:id="1" w:name="_Hlk132980891"/>
      <w:r w:rsidR="00154A06">
        <w:rPr>
          <w:rFonts w:ascii="Times New Roman" w:hAnsi="Times New Roman"/>
          <w:sz w:val="22"/>
          <w:szCs w:val="22"/>
        </w:rPr>
        <w:t>c</w:t>
      </w:r>
      <w:r w:rsidRPr="003D6B6C">
        <w:rPr>
          <w:rFonts w:ascii="Times New Roman" w:hAnsi="Times New Roman"/>
          <w:sz w:val="22"/>
          <w:szCs w:val="22"/>
        </w:rPr>
        <w:t>onditions</w:t>
      </w:r>
      <w:r w:rsidR="00555E74">
        <w:rPr>
          <w:rFonts w:ascii="Times New Roman" w:hAnsi="Times New Roman"/>
          <w:sz w:val="22"/>
          <w:szCs w:val="22"/>
        </w:rPr>
        <w:t>.</w:t>
      </w:r>
      <w:r w:rsidR="00556F39" w:rsidRPr="00556F39">
        <w:rPr>
          <w:rFonts w:ascii="Times New Roman" w:hAnsi="Times New Roman"/>
          <w:sz w:val="22"/>
          <w:szCs w:val="22"/>
        </w:rPr>
        <w:t xml:space="preserve"> Exceptionally, and with the approval of the competent European Commission departments, other clauses can be indicated to cover particular situations. </w:t>
      </w:r>
      <w:bookmarkEnd w:id="1"/>
    </w:p>
    <w:p w14:paraId="17152D5C" w14:textId="77777777" w:rsidR="00A13EB8" w:rsidRPr="00B5440B" w:rsidRDefault="00A13EB8" w:rsidP="00B5440B">
      <w:pPr>
        <w:outlineLvl w:val="0"/>
        <w:rPr>
          <w:rFonts w:ascii="Times New Roman" w:hAnsi="Times New Roman"/>
          <w:b/>
          <w:sz w:val="24"/>
          <w:szCs w:val="24"/>
        </w:rPr>
      </w:pPr>
      <w:bookmarkStart w:id="2" w:name="_Toc124934896"/>
      <w:r w:rsidRPr="00B5440B">
        <w:rPr>
          <w:rFonts w:ascii="Times New Roman" w:hAnsi="Times New Roman"/>
          <w:b/>
          <w:sz w:val="24"/>
          <w:szCs w:val="24"/>
        </w:rPr>
        <w:t>The subject of the contract shall be:</w:t>
      </w:r>
    </w:p>
    <w:p w14:paraId="3554BCC0" w14:textId="3F80E374" w:rsidR="00477E06" w:rsidRDefault="005F4144" w:rsidP="00477E06">
      <w:pPr>
        <w:spacing w:before="240"/>
        <w:outlineLvl w:val="0"/>
        <w:rPr>
          <w:rFonts w:ascii="Times New Roman" w:hAnsi="Times New Roman"/>
          <w:sz w:val="22"/>
        </w:rPr>
      </w:pPr>
      <w:bookmarkStart w:id="3" w:name="_Hlk132980677"/>
      <w:r w:rsidRPr="005F4144">
        <w:rPr>
          <w:rFonts w:ascii="Times New Roman" w:hAnsi="Times New Roman"/>
          <w:sz w:val="22"/>
        </w:rPr>
        <w:t xml:space="preserve">The subject of the contract is: </w:t>
      </w:r>
      <w:r w:rsidR="002C5E99" w:rsidRPr="004A5F9B">
        <w:rPr>
          <w:rFonts w:ascii="Times New Roman" w:hAnsi="Times New Roman"/>
          <w:b/>
          <w:szCs w:val="22"/>
        </w:rPr>
        <w:t>Supply of 500 Desktop Computers and Peripherals and 500 Printers under the Social Cohesio</w:t>
      </w:r>
      <w:r w:rsidR="002C5E99">
        <w:rPr>
          <w:rFonts w:ascii="Times New Roman" w:hAnsi="Times New Roman"/>
          <w:b/>
          <w:szCs w:val="22"/>
        </w:rPr>
        <w:t>n Assistance for Foreigners (SSN</w:t>
      </w:r>
      <w:r w:rsidR="002C5E99" w:rsidRPr="004A5F9B">
        <w:rPr>
          <w:rFonts w:ascii="Times New Roman" w:hAnsi="Times New Roman"/>
          <w:b/>
          <w:szCs w:val="22"/>
        </w:rPr>
        <w:t>) Programme for Distribution to Social Assistance and Solidarity Foundations and Social Service Centres, and Supply of 500 Desktop Computers and Peripherals under the Conditional Cash Transfer for Education (CCTE) Project</w:t>
      </w:r>
      <w:r w:rsidR="00477E06" w:rsidRPr="00477E06">
        <w:rPr>
          <w:rFonts w:ascii="Times New Roman" w:hAnsi="Times New Roman"/>
          <w:sz w:val="22"/>
        </w:rPr>
        <w:t>.</w:t>
      </w:r>
    </w:p>
    <w:p w14:paraId="4EA2A5DE" w14:textId="13318AB0" w:rsidR="002C5E99" w:rsidRDefault="002C5E99" w:rsidP="00477E06">
      <w:pPr>
        <w:spacing w:before="240"/>
        <w:outlineLvl w:val="0"/>
        <w:rPr>
          <w:rFonts w:ascii="Times New Roman" w:hAnsi="Times New Roman"/>
          <w:sz w:val="22"/>
        </w:rPr>
      </w:pPr>
      <w:r>
        <w:rPr>
          <w:rFonts w:ascii="Times New Roman" w:hAnsi="Times New Roman"/>
          <w:sz w:val="22"/>
        </w:rPr>
        <w:t>Lot 1:</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4914"/>
        <w:gridCol w:w="1559"/>
        <w:gridCol w:w="2127"/>
      </w:tblGrid>
      <w:tr w:rsidR="002C5E99" w:rsidRPr="00232598" w14:paraId="228B8455" w14:textId="77777777" w:rsidTr="00656FF0">
        <w:trPr>
          <w:trHeight w:val="1584"/>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A53F" w14:textId="77777777" w:rsidR="002C5E99" w:rsidRPr="0011712E" w:rsidRDefault="002C5E99" w:rsidP="00656FF0">
            <w:pPr>
              <w:spacing w:after="0" w:line="360" w:lineRule="auto"/>
              <w:rPr>
                <w:rFonts w:ascii="Times New Roman" w:eastAsia="Calibri" w:hAnsi="Times New Roman"/>
                <w:b/>
                <w:sz w:val="21"/>
                <w:szCs w:val="21"/>
                <w:lang w:val="en-US"/>
              </w:rPr>
            </w:pPr>
            <w:r w:rsidRPr="0011712E">
              <w:rPr>
                <w:rFonts w:ascii="Times New Roman" w:eastAsia="Calibri" w:hAnsi="Times New Roman"/>
                <w:b/>
                <w:sz w:val="21"/>
                <w:szCs w:val="21"/>
                <w:lang w:val="en-US"/>
              </w:rPr>
              <w:t>S. N</w:t>
            </w:r>
          </w:p>
        </w:tc>
        <w:tc>
          <w:tcPr>
            <w:tcW w:w="49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673E1F"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Name/Type of Goods/Services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71C1A"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Unit</w:t>
            </w:r>
          </w:p>
          <w:p w14:paraId="7D8E008F"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(Number/set)</w:t>
            </w:r>
          </w:p>
          <w:p w14:paraId="4BB87C8A"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A</w:t>
            </w:r>
          </w:p>
        </w:tc>
        <w:tc>
          <w:tcPr>
            <w:tcW w:w="21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7F8E8715"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Requested Quantity</w:t>
            </w:r>
          </w:p>
          <w:p w14:paraId="19E11F60"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(Number/set)</w:t>
            </w:r>
          </w:p>
          <w:p w14:paraId="6C7D6B55"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B</w:t>
            </w:r>
          </w:p>
        </w:tc>
      </w:tr>
      <w:tr w:rsidR="002C5E99" w:rsidRPr="00232598" w14:paraId="3121B5D8" w14:textId="77777777" w:rsidTr="00656FF0">
        <w:trPr>
          <w:trHeight w:val="511"/>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06C72" w14:textId="77777777" w:rsidR="002C5E99" w:rsidRPr="008C3D27" w:rsidRDefault="002C5E99" w:rsidP="00656FF0">
            <w:pPr>
              <w:spacing w:before="0" w:after="0"/>
              <w:jc w:val="center"/>
              <w:rPr>
                <w:rFonts w:ascii="Times New Roman" w:hAnsi="Times New Roman"/>
                <w:color w:val="000000"/>
                <w:lang w:eastAsia="tr-TR"/>
              </w:rPr>
            </w:pPr>
            <w:r w:rsidRPr="008C3D27">
              <w:rPr>
                <w:rFonts w:ascii="Times New Roman" w:hAnsi="Times New Roman"/>
                <w:color w:val="000000"/>
                <w:lang w:eastAsia="tr-TR"/>
              </w:rPr>
              <w:t>1</w:t>
            </w:r>
          </w:p>
        </w:tc>
        <w:tc>
          <w:tcPr>
            <w:tcW w:w="4914" w:type="dxa"/>
            <w:tcBorders>
              <w:top w:val="single" w:sz="4" w:space="0" w:color="auto"/>
              <w:left w:val="single" w:sz="4" w:space="0" w:color="auto"/>
              <w:bottom w:val="single" w:sz="4" w:space="0" w:color="auto"/>
              <w:right w:val="single" w:sz="4" w:space="0" w:color="auto"/>
            </w:tcBorders>
            <w:shd w:val="clear" w:color="auto" w:fill="auto"/>
          </w:tcPr>
          <w:p w14:paraId="572D3AC3" w14:textId="235C6D44" w:rsidR="002C5E99" w:rsidRPr="008C3D27" w:rsidRDefault="000204BF" w:rsidP="00656FF0">
            <w:pPr>
              <w:spacing w:before="0" w:after="0"/>
              <w:rPr>
                <w:rFonts w:ascii="Times New Roman" w:hAnsi="Times New Roman"/>
                <w:b/>
              </w:rPr>
            </w:pPr>
            <w:r>
              <w:rPr>
                <w:rFonts w:ascii="Times New Roman" w:hAnsi="Times New Roman"/>
                <w:b/>
              </w:rPr>
              <w:t xml:space="preserve">SSN </w:t>
            </w:r>
            <w:bookmarkStart w:id="4" w:name="_GoBack"/>
            <w:bookmarkEnd w:id="4"/>
            <w:r w:rsidRPr="008C3D27">
              <w:rPr>
                <w:rFonts w:ascii="Times New Roman" w:hAnsi="Times New Roman"/>
                <w:b/>
              </w:rPr>
              <w:t>LASER PRINTER/COPIER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D343383" w14:textId="77777777" w:rsidR="002C5E99" w:rsidRPr="008C3D27" w:rsidRDefault="002C5E99" w:rsidP="00656FF0">
            <w:pPr>
              <w:spacing w:before="0"/>
              <w:jc w:val="center"/>
              <w:rPr>
                <w:rFonts w:ascii="Times New Roman" w:eastAsia="Calibri" w:hAnsi="Times New Roman"/>
                <w:color w:val="000000"/>
                <w:lang w:eastAsia="tr-TR"/>
              </w:rPr>
            </w:pPr>
            <w:r w:rsidRPr="008C3D27">
              <w:rPr>
                <w:rFonts w:ascii="Times New Roman" w:eastAsia="Calibri" w:hAnsi="Times New Roman"/>
                <w:color w:val="000000"/>
                <w:lang w:eastAsia="tr-TR"/>
              </w:rPr>
              <w:t>Quantity</w:t>
            </w:r>
          </w:p>
        </w:tc>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6A91F46" w14:textId="245F7198" w:rsidR="002C5E99" w:rsidRPr="008C3D27" w:rsidRDefault="000204BF" w:rsidP="00656FF0">
            <w:pPr>
              <w:spacing w:before="0" w:after="0"/>
              <w:jc w:val="center"/>
              <w:rPr>
                <w:rFonts w:ascii="Times New Roman" w:eastAsia="Calibri" w:hAnsi="Times New Roman"/>
                <w:lang w:eastAsia="tr-TR"/>
              </w:rPr>
            </w:pPr>
            <w:r>
              <w:rPr>
                <w:rFonts w:ascii="Times New Roman" w:eastAsia="Calibri" w:hAnsi="Times New Roman"/>
                <w:lang w:eastAsia="tr-TR"/>
              </w:rPr>
              <w:t>500</w:t>
            </w:r>
          </w:p>
        </w:tc>
      </w:tr>
    </w:tbl>
    <w:p w14:paraId="6EA24D50" w14:textId="2A4DB6CA" w:rsidR="002C5E99" w:rsidRDefault="002C5E99" w:rsidP="00477E06">
      <w:pPr>
        <w:spacing w:before="240"/>
        <w:outlineLvl w:val="0"/>
        <w:rPr>
          <w:rFonts w:ascii="Times New Roman" w:hAnsi="Times New Roman"/>
          <w:sz w:val="22"/>
        </w:rPr>
      </w:pPr>
      <w:r>
        <w:rPr>
          <w:rFonts w:ascii="Times New Roman" w:hAnsi="Times New Roman"/>
          <w:sz w:val="22"/>
        </w:rPr>
        <w:t>Lot 2:</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4914"/>
        <w:gridCol w:w="1559"/>
        <w:gridCol w:w="2127"/>
      </w:tblGrid>
      <w:tr w:rsidR="002C5E99" w:rsidRPr="00232598" w14:paraId="0833C370" w14:textId="77777777" w:rsidTr="00656FF0">
        <w:trPr>
          <w:trHeight w:val="1584"/>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E2E79" w14:textId="77777777" w:rsidR="002C5E99" w:rsidRPr="0011712E" w:rsidRDefault="002C5E99" w:rsidP="00656FF0">
            <w:pPr>
              <w:spacing w:after="0" w:line="360" w:lineRule="auto"/>
              <w:rPr>
                <w:rFonts w:ascii="Times New Roman" w:eastAsia="Calibri" w:hAnsi="Times New Roman"/>
                <w:b/>
                <w:sz w:val="21"/>
                <w:szCs w:val="21"/>
                <w:lang w:val="en-US"/>
              </w:rPr>
            </w:pPr>
            <w:r w:rsidRPr="0011712E">
              <w:rPr>
                <w:rFonts w:ascii="Times New Roman" w:eastAsia="Calibri" w:hAnsi="Times New Roman"/>
                <w:b/>
                <w:sz w:val="21"/>
                <w:szCs w:val="21"/>
                <w:lang w:val="en-US"/>
              </w:rPr>
              <w:t>S. N</w:t>
            </w:r>
          </w:p>
        </w:tc>
        <w:tc>
          <w:tcPr>
            <w:tcW w:w="49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98A89"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Name/Type of Goods/Services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748C"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Unit</w:t>
            </w:r>
          </w:p>
          <w:p w14:paraId="33380357"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(Number/set)</w:t>
            </w:r>
          </w:p>
          <w:p w14:paraId="06E4EA57"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A</w:t>
            </w:r>
          </w:p>
        </w:tc>
        <w:tc>
          <w:tcPr>
            <w:tcW w:w="21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16FEB4E5"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Requested Quantity</w:t>
            </w:r>
          </w:p>
          <w:p w14:paraId="446E6BE4"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(Number/set)</w:t>
            </w:r>
          </w:p>
          <w:p w14:paraId="5B2DD43B" w14:textId="77777777" w:rsidR="002C5E99" w:rsidRPr="0011712E" w:rsidRDefault="002C5E99" w:rsidP="00656FF0">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B</w:t>
            </w:r>
          </w:p>
        </w:tc>
      </w:tr>
      <w:tr w:rsidR="002C5E99" w:rsidRPr="00232598" w14:paraId="3B704CA7" w14:textId="77777777" w:rsidTr="00656FF0">
        <w:trPr>
          <w:trHeight w:val="271"/>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3CE6F" w14:textId="054D0CAE" w:rsidR="002C5E99" w:rsidRPr="008C3D27" w:rsidRDefault="002C5E99" w:rsidP="00656FF0">
            <w:pPr>
              <w:spacing w:after="0"/>
              <w:jc w:val="center"/>
              <w:rPr>
                <w:rFonts w:ascii="Times New Roman" w:hAnsi="Times New Roman"/>
                <w:color w:val="000000"/>
                <w:lang w:eastAsia="tr-TR"/>
              </w:rPr>
            </w:pPr>
            <w:r>
              <w:rPr>
                <w:rFonts w:ascii="Times New Roman" w:hAnsi="Times New Roman"/>
                <w:color w:val="000000"/>
                <w:lang w:eastAsia="tr-TR"/>
              </w:rPr>
              <w:t>1</w:t>
            </w:r>
          </w:p>
        </w:tc>
        <w:tc>
          <w:tcPr>
            <w:tcW w:w="4914" w:type="dxa"/>
            <w:tcBorders>
              <w:top w:val="single" w:sz="4" w:space="0" w:color="auto"/>
              <w:left w:val="single" w:sz="4" w:space="0" w:color="auto"/>
              <w:bottom w:val="single" w:sz="4" w:space="0" w:color="auto"/>
              <w:right w:val="single" w:sz="4" w:space="0" w:color="auto"/>
            </w:tcBorders>
            <w:shd w:val="clear" w:color="auto" w:fill="auto"/>
          </w:tcPr>
          <w:p w14:paraId="76F32B1F" w14:textId="68D9773C" w:rsidR="002C5E99" w:rsidRPr="008C3D27" w:rsidRDefault="002C5E99" w:rsidP="00656FF0">
            <w:pPr>
              <w:spacing w:after="0"/>
              <w:rPr>
                <w:rFonts w:ascii="Times New Roman" w:hAnsi="Times New Roman"/>
                <w:color w:val="000000"/>
                <w:lang w:eastAsia="tr-TR"/>
              </w:rPr>
            </w:pPr>
            <w:r w:rsidRPr="008C3D27">
              <w:rPr>
                <w:rFonts w:ascii="Times New Roman" w:hAnsi="Times New Roman"/>
                <w:b/>
              </w:rPr>
              <w:t xml:space="preserve"> </w:t>
            </w:r>
            <w:r w:rsidR="000204BF">
              <w:rPr>
                <w:rFonts w:ascii="Times New Roman" w:hAnsi="Times New Roman"/>
                <w:b/>
              </w:rPr>
              <w:t xml:space="preserve">CCTE </w:t>
            </w:r>
            <w:r w:rsidR="000204BF">
              <w:rPr>
                <w:rFonts w:ascii="Times New Roman" w:hAnsi="Times New Roman"/>
                <w:b/>
              </w:rPr>
              <w:t xml:space="preserve">DESKTOP PC </w:t>
            </w:r>
            <w:r w:rsidR="000204BF" w:rsidRPr="004A5F9B">
              <w:rPr>
                <w:rFonts w:ascii="Times New Roman" w:hAnsi="Times New Roman"/>
                <w:b/>
                <w:szCs w:val="22"/>
              </w:rPr>
              <w:t>and Peripherals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CA4A4E" w14:textId="77777777" w:rsidR="002C5E99" w:rsidRPr="008C3D27" w:rsidRDefault="002C5E99" w:rsidP="00656FF0">
            <w:pPr>
              <w:jc w:val="center"/>
            </w:pPr>
            <w:r w:rsidRPr="008C3D27">
              <w:rPr>
                <w:rFonts w:ascii="Times New Roman" w:eastAsia="Calibri" w:hAnsi="Times New Roman"/>
                <w:color w:val="000000"/>
                <w:lang w:eastAsia="tr-TR"/>
              </w:rPr>
              <w:t>Quantity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09190E5" w14:textId="41A9CF28" w:rsidR="002C5E99" w:rsidRPr="008C3D27" w:rsidRDefault="002C5E99" w:rsidP="00656FF0">
            <w:pPr>
              <w:jc w:val="center"/>
            </w:pPr>
            <w:r>
              <w:rPr>
                <w:rFonts w:ascii="Times New Roman" w:eastAsia="Calibri" w:hAnsi="Times New Roman"/>
                <w:lang w:eastAsia="tr-TR"/>
              </w:rPr>
              <w:t>500</w:t>
            </w:r>
          </w:p>
        </w:tc>
      </w:tr>
    </w:tbl>
    <w:p w14:paraId="026A344F" w14:textId="2368C29E" w:rsidR="002C5E99" w:rsidRDefault="000204BF" w:rsidP="00477E06">
      <w:pPr>
        <w:spacing w:before="240"/>
        <w:outlineLvl w:val="0"/>
        <w:rPr>
          <w:rFonts w:ascii="Times New Roman" w:hAnsi="Times New Roman"/>
          <w:sz w:val="22"/>
        </w:rPr>
      </w:pPr>
      <w:r>
        <w:rPr>
          <w:rFonts w:ascii="Times New Roman" w:hAnsi="Times New Roman"/>
          <w:sz w:val="22"/>
        </w:rPr>
        <w:t>Lot 3:</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6"/>
        <w:gridCol w:w="4914"/>
        <w:gridCol w:w="1559"/>
        <w:gridCol w:w="2127"/>
      </w:tblGrid>
      <w:tr w:rsidR="000204BF" w:rsidRPr="00232598" w14:paraId="45BD6127" w14:textId="77777777" w:rsidTr="002B5B02">
        <w:trPr>
          <w:trHeight w:val="1584"/>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DD797" w14:textId="77777777" w:rsidR="000204BF" w:rsidRPr="0011712E" w:rsidRDefault="000204BF" w:rsidP="002B5B02">
            <w:pPr>
              <w:spacing w:after="0" w:line="360" w:lineRule="auto"/>
              <w:rPr>
                <w:rFonts w:ascii="Times New Roman" w:eastAsia="Calibri" w:hAnsi="Times New Roman"/>
                <w:b/>
                <w:sz w:val="21"/>
                <w:szCs w:val="21"/>
                <w:lang w:val="en-US"/>
              </w:rPr>
            </w:pPr>
            <w:r w:rsidRPr="0011712E">
              <w:rPr>
                <w:rFonts w:ascii="Times New Roman" w:eastAsia="Calibri" w:hAnsi="Times New Roman"/>
                <w:b/>
                <w:sz w:val="21"/>
                <w:szCs w:val="21"/>
                <w:lang w:val="en-US"/>
              </w:rPr>
              <w:t>S. N</w:t>
            </w:r>
          </w:p>
        </w:tc>
        <w:tc>
          <w:tcPr>
            <w:tcW w:w="491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4794C" w14:textId="77777777" w:rsidR="000204BF" w:rsidRPr="0011712E" w:rsidRDefault="000204BF" w:rsidP="002B5B02">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Name/Type of Goods/Services</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E305A" w14:textId="77777777" w:rsidR="000204BF" w:rsidRPr="0011712E" w:rsidRDefault="000204BF" w:rsidP="002B5B02">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Unit</w:t>
            </w:r>
          </w:p>
          <w:p w14:paraId="25B1BB12" w14:textId="77777777" w:rsidR="000204BF" w:rsidRPr="0011712E" w:rsidRDefault="000204BF" w:rsidP="002B5B02">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(Number/set)</w:t>
            </w:r>
          </w:p>
          <w:p w14:paraId="2E627B3B" w14:textId="77777777" w:rsidR="000204BF" w:rsidRPr="0011712E" w:rsidRDefault="000204BF" w:rsidP="002B5B02">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A</w:t>
            </w:r>
          </w:p>
        </w:tc>
        <w:tc>
          <w:tcPr>
            <w:tcW w:w="2127" w:type="dxa"/>
            <w:tcBorders>
              <w:top w:val="single" w:sz="4" w:space="0" w:color="000000"/>
              <w:left w:val="single" w:sz="4" w:space="0" w:color="000000"/>
              <w:bottom w:val="single" w:sz="4" w:space="0" w:color="000000"/>
              <w:right w:val="single" w:sz="4" w:space="0" w:color="auto"/>
            </w:tcBorders>
            <w:shd w:val="clear" w:color="auto" w:fill="auto"/>
            <w:vAlign w:val="center"/>
            <w:hideMark/>
          </w:tcPr>
          <w:p w14:paraId="131E4A2C" w14:textId="77777777" w:rsidR="000204BF" w:rsidRPr="0011712E" w:rsidRDefault="000204BF" w:rsidP="002B5B02">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Requested Quantity</w:t>
            </w:r>
          </w:p>
          <w:p w14:paraId="0C103542" w14:textId="77777777" w:rsidR="000204BF" w:rsidRPr="0011712E" w:rsidRDefault="000204BF" w:rsidP="002B5B02">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(Number/set)</w:t>
            </w:r>
          </w:p>
          <w:p w14:paraId="64D7CC16" w14:textId="77777777" w:rsidR="000204BF" w:rsidRPr="0011712E" w:rsidRDefault="000204BF" w:rsidP="002B5B02">
            <w:pPr>
              <w:spacing w:after="0" w:line="360" w:lineRule="auto"/>
              <w:jc w:val="center"/>
              <w:rPr>
                <w:rFonts w:ascii="Times New Roman" w:eastAsia="Calibri" w:hAnsi="Times New Roman"/>
                <w:b/>
                <w:sz w:val="21"/>
                <w:szCs w:val="21"/>
                <w:lang w:eastAsia="tr-TR"/>
              </w:rPr>
            </w:pPr>
            <w:r w:rsidRPr="0011712E">
              <w:rPr>
                <w:rFonts w:ascii="Times New Roman" w:eastAsia="Calibri" w:hAnsi="Times New Roman"/>
                <w:b/>
                <w:sz w:val="21"/>
                <w:szCs w:val="21"/>
                <w:lang w:eastAsia="tr-TR"/>
              </w:rPr>
              <w:t>B</w:t>
            </w:r>
          </w:p>
        </w:tc>
      </w:tr>
      <w:tr w:rsidR="000204BF" w:rsidRPr="00232598" w14:paraId="74A99216" w14:textId="77777777" w:rsidTr="002B5B02">
        <w:trPr>
          <w:trHeight w:val="271"/>
          <w:jc w:val="center"/>
        </w:trPr>
        <w:tc>
          <w:tcPr>
            <w:tcW w:w="68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4E3FF" w14:textId="77777777" w:rsidR="000204BF" w:rsidRPr="008C3D27" w:rsidRDefault="000204BF" w:rsidP="002B5B02">
            <w:pPr>
              <w:spacing w:after="0"/>
              <w:jc w:val="center"/>
              <w:rPr>
                <w:rFonts w:ascii="Times New Roman" w:hAnsi="Times New Roman"/>
                <w:color w:val="000000"/>
                <w:lang w:eastAsia="tr-TR"/>
              </w:rPr>
            </w:pPr>
            <w:r>
              <w:rPr>
                <w:rFonts w:ascii="Times New Roman" w:hAnsi="Times New Roman"/>
                <w:color w:val="000000"/>
                <w:lang w:eastAsia="tr-TR"/>
              </w:rPr>
              <w:t>1</w:t>
            </w:r>
          </w:p>
        </w:tc>
        <w:tc>
          <w:tcPr>
            <w:tcW w:w="4914" w:type="dxa"/>
            <w:tcBorders>
              <w:top w:val="single" w:sz="4" w:space="0" w:color="auto"/>
              <w:left w:val="single" w:sz="4" w:space="0" w:color="auto"/>
              <w:bottom w:val="single" w:sz="4" w:space="0" w:color="auto"/>
              <w:right w:val="single" w:sz="4" w:space="0" w:color="auto"/>
            </w:tcBorders>
            <w:shd w:val="clear" w:color="auto" w:fill="auto"/>
          </w:tcPr>
          <w:p w14:paraId="26EB6469" w14:textId="350553CD" w:rsidR="000204BF" w:rsidRPr="008C3D27" w:rsidRDefault="000204BF" w:rsidP="002B5B02">
            <w:pPr>
              <w:spacing w:after="0"/>
              <w:rPr>
                <w:rFonts w:ascii="Times New Roman" w:hAnsi="Times New Roman"/>
                <w:color w:val="000000"/>
                <w:lang w:eastAsia="tr-TR"/>
              </w:rPr>
            </w:pPr>
            <w:r w:rsidRPr="008C3D27">
              <w:rPr>
                <w:rFonts w:ascii="Times New Roman" w:hAnsi="Times New Roman"/>
                <w:b/>
              </w:rPr>
              <w:t xml:space="preserve"> </w:t>
            </w:r>
            <w:r>
              <w:rPr>
                <w:rFonts w:ascii="Times New Roman" w:hAnsi="Times New Roman"/>
                <w:b/>
              </w:rPr>
              <w:t xml:space="preserve">SSN </w:t>
            </w:r>
            <w:r>
              <w:rPr>
                <w:rFonts w:ascii="Times New Roman" w:hAnsi="Times New Roman"/>
                <w:b/>
              </w:rPr>
              <w:t xml:space="preserve">DESKTOP PC </w:t>
            </w:r>
            <w:r w:rsidRPr="004A5F9B">
              <w:rPr>
                <w:rFonts w:ascii="Times New Roman" w:hAnsi="Times New Roman"/>
                <w:b/>
                <w:szCs w:val="22"/>
              </w:rPr>
              <w:t>and Peripherals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F77E185" w14:textId="77777777" w:rsidR="000204BF" w:rsidRPr="008C3D27" w:rsidRDefault="000204BF" w:rsidP="002B5B02">
            <w:pPr>
              <w:jc w:val="center"/>
            </w:pPr>
            <w:r w:rsidRPr="008C3D27">
              <w:rPr>
                <w:rFonts w:ascii="Times New Roman" w:eastAsia="Calibri" w:hAnsi="Times New Roman"/>
                <w:color w:val="000000"/>
                <w:lang w:eastAsia="tr-TR"/>
              </w:rPr>
              <w:t>Quantity</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1368D6" w14:textId="77777777" w:rsidR="000204BF" w:rsidRPr="008C3D27" w:rsidRDefault="000204BF" w:rsidP="002B5B02">
            <w:pPr>
              <w:jc w:val="center"/>
            </w:pPr>
            <w:r>
              <w:rPr>
                <w:rFonts w:ascii="Times New Roman" w:eastAsia="Calibri" w:hAnsi="Times New Roman"/>
                <w:lang w:eastAsia="tr-TR"/>
              </w:rPr>
              <w:t>500</w:t>
            </w:r>
          </w:p>
        </w:tc>
      </w:tr>
    </w:tbl>
    <w:p w14:paraId="04FEE4C5" w14:textId="77777777" w:rsidR="000204BF" w:rsidRDefault="000204BF" w:rsidP="00477E06">
      <w:pPr>
        <w:spacing w:before="240"/>
        <w:outlineLvl w:val="0"/>
        <w:rPr>
          <w:rFonts w:ascii="Times New Roman" w:hAnsi="Times New Roman"/>
          <w:sz w:val="22"/>
        </w:rPr>
      </w:pPr>
    </w:p>
    <w:p w14:paraId="46072CA1" w14:textId="47557ACC" w:rsidR="00C05EBE" w:rsidRPr="00477E06" w:rsidRDefault="00C05EBE" w:rsidP="00477E06">
      <w:pPr>
        <w:spacing w:before="240"/>
        <w:outlineLvl w:val="0"/>
        <w:rPr>
          <w:rFonts w:ascii="Times New Roman" w:hAnsi="Times New Roman"/>
          <w:sz w:val="22"/>
        </w:rPr>
      </w:pPr>
      <w:r w:rsidRPr="00C05EBE">
        <w:rPr>
          <w:rFonts w:ascii="Times New Roman" w:hAnsi="Times New Roman"/>
          <w:b/>
          <w:sz w:val="24"/>
          <w:szCs w:val="24"/>
        </w:rPr>
        <w:lastRenderedPageBreak/>
        <w:t>Order of precedence of contract documents</w:t>
      </w:r>
    </w:p>
    <w:bookmarkEnd w:id="3"/>
    <w:p w14:paraId="7E8DCE3F" w14:textId="77777777" w:rsidR="00556F39" w:rsidRPr="00556F39" w:rsidRDefault="00556F39" w:rsidP="00B5440B">
      <w:pPr>
        <w:spacing w:before="0"/>
        <w:rPr>
          <w:rFonts w:ascii="Times New Roman" w:hAnsi="Times New Roman"/>
          <w:sz w:val="22"/>
          <w:szCs w:val="22"/>
        </w:rPr>
      </w:pPr>
      <w:r w:rsidRPr="00556F39">
        <w:rPr>
          <w:rFonts w:ascii="Times New Roman" w:hAnsi="Times New Roman"/>
          <w:sz w:val="22"/>
          <w:szCs w:val="22"/>
        </w:rPr>
        <w:t>The following documents shall be deemed to form and be read and construed as part of this contract, in the following order of precedence:</w:t>
      </w:r>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the main conditions</w:t>
      </w:r>
      <w:r w:rsidRPr="00C05EBE">
        <w:rPr>
          <w:rFonts w:ascii="Times New Roman" w:hAnsi="Times New Roman"/>
          <w:sz w:val="22"/>
        </w:rPr>
        <w:t>;</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special conditions</w:t>
      </w:r>
      <w:r>
        <w:rPr>
          <w:rFonts w:ascii="Times New Roman" w:hAnsi="Times New Roman"/>
          <w:sz w:val="22"/>
        </w:rPr>
        <w:t>;</w:t>
      </w:r>
    </w:p>
    <w:p w14:paraId="6E5B011A"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general conditions (Annex I);</w:t>
      </w:r>
    </w:p>
    <w:p w14:paraId="0F153351" w14:textId="5ABC9954" w:rsidR="00D14292" w:rsidRPr="006D100D" w:rsidRDefault="00D14292" w:rsidP="00B5440B">
      <w:pPr>
        <w:numPr>
          <w:ilvl w:val="0"/>
          <w:numId w:val="1"/>
        </w:numPr>
        <w:tabs>
          <w:tab w:val="clear" w:pos="360"/>
        </w:tabs>
        <w:spacing w:before="0" w:after="80"/>
        <w:ind w:left="709" w:hanging="425"/>
        <w:jc w:val="both"/>
        <w:rPr>
          <w:rFonts w:ascii="Times New Roman" w:hAnsi="Times New Roman"/>
          <w:sz w:val="22"/>
          <w:szCs w:val="22"/>
        </w:rPr>
      </w:pPr>
      <w:proofErr w:type="gramStart"/>
      <w:r w:rsidRPr="006D100D">
        <w:rPr>
          <w:rFonts w:ascii="Times New Roman" w:hAnsi="Times New Roman"/>
          <w:sz w:val="22"/>
          <w:szCs w:val="22"/>
        </w:rPr>
        <w:t>applicable</w:t>
      </w:r>
      <w:proofErr w:type="gramEnd"/>
      <w:r w:rsidRPr="006D100D">
        <w:rPr>
          <w:rFonts w:ascii="Times New Roman" w:hAnsi="Times New Roman"/>
          <w:sz w:val="22"/>
          <w:szCs w:val="22"/>
        </w:rPr>
        <w:t xml:space="preserve"> only if the contract is a transnational contract: the PRAG Procedural rules on conciliation and arbitration</w:t>
      </w:r>
      <w:r w:rsidR="006D100D" w:rsidRPr="006D100D">
        <w:rPr>
          <w:rFonts w:ascii="Times New Roman" w:hAnsi="Times New Roman"/>
          <w:iCs/>
          <w:sz w:val="22"/>
          <w:szCs w:val="22"/>
        </w:rPr>
        <w:t>.</w:t>
      </w:r>
    </w:p>
    <w:p w14:paraId="344624D4" w14:textId="0D8563F3"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technical specifications (Annex II [including clarifications before the deadline for submission of tenders</w:t>
      </w:r>
      <w:r w:rsidR="006B7FEA">
        <w:rPr>
          <w:rFonts w:ascii="Times New Roman" w:hAnsi="Times New Roman"/>
          <w:sz w:val="22"/>
        </w:rPr>
        <w:t xml:space="preserve"> and distribution list</w:t>
      </w:r>
      <w:r w:rsidRPr="00C05EBE">
        <w:rPr>
          <w:rFonts w:ascii="Times New Roman" w:hAnsi="Times New Roman"/>
          <w:sz w:val="22"/>
        </w:rPr>
        <w:t>;</w:t>
      </w:r>
    </w:p>
    <w:p w14:paraId="01FF9F87" w14:textId="74B3A740" w:rsidR="00C05EBE" w:rsidRPr="006D100D" w:rsidRDefault="006D100D" w:rsidP="00B5440B">
      <w:pPr>
        <w:numPr>
          <w:ilvl w:val="0"/>
          <w:numId w:val="1"/>
        </w:numPr>
        <w:tabs>
          <w:tab w:val="clear" w:pos="360"/>
        </w:tabs>
        <w:spacing w:before="0" w:after="80"/>
        <w:ind w:left="709" w:hanging="425"/>
        <w:jc w:val="both"/>
        <w:rPr>
          <w:rFonts w:ascii="Times New Roman" w:hAnsi="Times New Roman"/>
          <w:sz w:val="22"/>
        </w:rPr>
      </w:pPr>
      <w:r>
        <w:rPr>
          <w:rFonts w:ascii="Times New Roman" w:hAnsi="Times New Roman"/>
          <w:sz w:val="22"/>
        </w:rPr>
        <w:t xml:space="preserve">the technical offer (Annex III </w:t>
      </w:r>
      <w:r w:rsidR="00C05EBE" w:rsidRPr="006D100D">
        <w:rPr>
          <w:rFonts w:ascii="Times New Roman" w:hAnsi="Times New Roman"/>
          <w:sz w:val="22"/>
        </w:rPr>
        <w:t>including clarifications from the tenderer pr</w:t>
      </w:r>
      <w:r w:rsidRPr="006D100D">
        <w:rPr>
          <w:rFonts w:ascii="Times New Roman" w:hAnsi="Times New Roman"/>
          <w:sz w:val="22"/>
        </w:rPr>
        <w:t>ovided during tender evaluation</w:t>
      </w:r>
      <w:r w:rsidR="00C05EBE" w:rsidRPr="006D100D">
        <w:rPr>
          <w:rFonts w:ascii="Times New Roman" w:hAnsi="Times New Roman"/>
          <w:sz w:val="22"/>
        </w:rPr>
        <w:t>);</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r w:rsidRPr="00C05EBE">
        <w:rPr>
          <w:rFonts w:ascii="Times New Roman" w:hAnsi="Times New Roman"/>
          <w:sz w:val="22"/>
        </w:rPr>
        <w:t>the budget breakdown (Annex IV);</w:t>
      </w:r>
    </w:p>
    <w:p w14:paraId="4411F209" w14:textId="0FADC196" w:rsidR="00C05EBE" w:rsidRPr="006D100D" w:rsidRDefault="00C05EBE" w:rsidP="00B5440B">
      <w:pPr>
        <w:numPr>
          <w:ilvl w:val="0"/>
          <w:numId w:val="1"/>
        </w:numPr>
        <w:tabs>
          <w:tab w:val="clear" w:pos="360"/>
        </w:tabs>
        <w:spacing w:before="0" w:after="240"/>
        <w:ind w:left="709" w:hanging="425"/>
        <w:jc w:val="both"/>
        <w:rPr>
          <w:rFonts w:ascii="Times New Roman" w:hAnsi="Times New Roman"/>
          <w:sz w:val="22"/>
        </w:rPr>
      </w:pPr>
      <w:r w:rsidRPr="006D100D">
        <w:rPr>
          <w:rFonts w:ascii="Times New Roman" w:hAnsi="Times New Roman"/>
          <w:sz w:val="22"/>
        </w:rPr>
        <w:t>specified forms and other relevant documents (Annex V);</w:t>
      </w:r>
    </w:p>
    <w:p w14:paraId="06DC3A15" w14:textId="77777777" w:rsidR="00556F39" w:rsidRPr="00556F39" w:rsidRDefault="00C05EBE" w:rsidP="00B5440B">
      <w:pPr>
        <w:spacing w:before="0" w:after="240"/>
        <w:jc w:val="both"/>
        <w:rPr>
          <w:rFonts w:ascii="Times New Roman" w:hAnsi="Times New Roman"/>
          <w:b/>
          <w:bCs/>
          <w:sz w:val="22"/>
          <w:szCs w:val="22"/>
        </w:rPr>
      </w:pPr>
      <w:r w:rsidRPr="00556F39">
        <w:rPr>
          <w:rFonts w:ascii="Times New Roman" w:hAnsi="Times New Roman"/>
          <w:b/>
          <w:bCs/>
          <w:sz w:val="22"/>
        </w:rPr>
        <w:t xml:space="preserve">The various documents making up the contract shall be deemed to be mutually explanatory; in cases of ambiguity or divergence, they shall prevail in the order in which they appear above. </w:t>
      </w:r>
      <w:r w:rsidR="00556F39" w:rsidRPr="00556F39">
        <w:rPr>
          <w:rFonts w:ascii="Times New Roman" w:hAnsi="Times New Roman"/>
          <w:b/>
          <w:bCs/>
          <w:sz w:val="22"/>
          <w:szCs w:val="22"/>
        </w:rPr>
        <w:t>Addenda shall have the order of precedence of the document they are amending.</w:t>
      </w:r>
      <w:r w:rsidR="00556F39" w:rsidRPr="00556F39" w:rsidDel="00A73B34">
        <w:rPr>
          <w:rFonts w:ascii="Times New Roman" w:hAnsi="Times New Roman"/>
          <w:b/>
          <w:bCs/>
          <w:sz w:val="22"/>
          <w:szCs w:val="22"/>
        </w:rPr>
        <w:t xml:space="preserve">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sidRPr="003D6B6C">
        <w:rPr>
          <w:rFonts w:ascii="Times New Roman" w:hAnsi="Times New Roman"/>
          <w:b/>
          <w:sz w:val="24"/>
          <w:szCs w:val="24"/>
        </w:rPr>
        <w:t>Article 2</w:t>
      </w:r>
      <w:r w:rsidRPr="003D6B6C">
        <w:rPr>
          <w:rFonts w:ascii="Times New Roman" w:hAnsi="Times New Roman"/>
          <w:b/>
          <w:sz w:val="24"/>
          <w:szCs w:val="24"/>
        </w:rPr>
        <w:tab/>
        <w:t>L</w:t>
      </w:r>
      <w:bookmarkEnd w:id="2"/>
      <w:r w:rsidR="009A4F18" w:rsidRPr="003D6B6C">
        <w:rPr>
          <w:rFonts w:ascii="Times New Roman" w:hAnsi="Times New Roman"/>
          <w:b/>
          <w:sz w:val="24"/>
          <w:szCs w:val="24"/>
        </w:rPr>
        <w:t xml:space="preserve">anguage of the </w:t>
      </w:r>
      <w:r w:rsidR="00154A06">
        <w:rPr>
          <w:rFonts w:ascii="Times New Roman" w:hAnsi="Times New Roman"/>
          <w:b/>
          <w:sz w:val="24"/>
          <w:szCs w:val="24"/>
        </w:rPr>
        <w:t>c</w:t>
      </w:r>
      <w:r w:rsidR="0097513D" w:rsidRPr="003D6B6C">
        <w:rPr>
          <w:rFonts w:ascii="Times New Roman" w:hAnsi="Times New Roman"/>
          <w:b/>
          <w:sz w:val="24"/>
          <w:szCs w:val="24"/>
        </w:rPr>
        <w:t>ontract</w:t>
      </w:r>
    </w:p>
    <w:p w14:paraId="1F484843" w14:textId="77C1C62E" w:rsidR="0047783A" w:rsidRPr="003D6B6C" w:rsidRDefault="0047783A" w:rsidP="004F7A0E">
      <w:pPr>
        <w:ind w:left="1134" w:hanging="567"/>
        <w:rPr>
          <w:rFonts w:ascii="Times New Roman" w:hAnsi="Times New Roman"/>
          <w:sz w:val="22"/>
          <w:szCs w:val="22"/>
        </w:rPr>
      </w:pPr>
      <w:r w:rsidRPr="003D6B6C">
        <w:rPr>
          <w:rFonts w:ascii="Times New Roman" w:hAnsi="Times New Roman"/>
          <w:sz w:val="22"/>
          <w:szCs w:val="22"/>
        </w:rPr>
        <w:t>2.</w:t>
      </w:r>
      <w:r w:rsidR="0086688D" w:rsidRPr="003D6B6C">
        <w:rPr>
          <w:rFonts w:ascii="Times New Roman" w:hAnsi="Times New Roman"/>
          <w:sz w:val="22"/>
          <w:szCs w:val="22"/>
        </w:rPr>
        <w:t>1</w:t>
      </w:r>
      <w:r w:rsidRPr="003D6B6C">
        <w:rPr>
          <w:rFonts w:ascii="Times New Roman" w:hAnsi="Times New Roman"/>
          <w:sz w:val="22"/>
          <w:szCs w:val="22"/>
        </w:rPr>
        <w:tab/>
        <w:t xml:space="preserve">The language used </w:t>
      </w:r>
      <w:r w:rsidR="0086688D" w:rsidRPr="003D6B6C">
        <w:rPr>
          <w:rFonts w:ascii="Times New Roman" w:hAnsi="Times New Roman"/>
          <w:sz w:val="22"/>
          <w:szCs w:val="22"/>
        </w:rPr>
        <w:t xml:space="preserve">shall </w:t>
      </w:r>
      <w:r w:rsidRPr="003D6B6C">
        <w:rPr>
          <w:rFonts w:ascii="Times New Roman" w:hAnsi="Times New Roman"/>
          <w:sz w:val="22"/>
          <w:szCs w:val="22"/>
        </w:rPr>
        <w:t>be English.</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5" w:name="_Toc124934897"/>
      <w:r w:rsidRPr="003D6B6C">
        <w:rPr>
          <w:rFonts w:ascii="Times New Roman" w:hAnsi="Times New Roman"/>
          <w:b/>
          <w:sz w:val="24"/>
          <w:szCs w:val="24"/>
        </w:rPr>
        <w:t>Article 4</w:t>
      </w:r>
      <w:r w:rsidRPr="003D6B6C">
        <w:rPr>
          <w:rFonts w:ascii="Times New Roman" w:hAnsi="Times New Roman"/>
          <w:b/>
          <w:sz w:val="24"/>
          <w:szCs w:val="24"/>
        </w:rPr>
        <w:tab/>
        <w:t>Communications</w:t>
      </w:r>
      <w:bookmarkEnd w:id="5"/>
    </w:p>
    <w:p w14:paraId="3481FE5E" w14:textId="7BD3E1E0" w:rsidR="003F3783" w:rsidRPr="003F3783" w:rsidRDefault="000724EA" w:rsidP="00B5440B">
      <w:pPr>
        <w:ind w:left="1134" w:hanging="567"/>
        <w:rPr>
          <w:rFonts w:ascii="Times New Roman" w:hAnsi="Times New Roman"/>
          <w:sz w:val="22"/>
          <w:szCs w:val="22"/>
        </w:rPr>
      </w:pPr>
      <w:r w:rsidRPr="003D6B6C">
        <w:rPr>
          <w:rFonts w:ascii="Times New Roman" w:hAnsi="Times New Roman"/>
          <w:sz w:val="22"/>
          <w:szCs w:val="22"/>
        </w:rPr>
        <w:t>4.1</w:t>
      </w:r>
      <w:r w:rsidRPr="003D6B6C">
        <w:rPr>
          <w:rFonts w:ascii="Times New Roman" w:hAnsi="Times New Roman"/>
          <w:sz w:val="22"/>
          <w:szCs w:val="22"/>
        </w:rPr>
        <w:tab/>
      </w:r>
      <w:bookmarkStart w:id="6" w:name="_Hlk133420374"/>
      <w:r w:rsidR="003F3783" w:rsidRPr="003F3783">
        <w:rPr>
          <w:rFonts w:ascii="Times New Roman" w:hAnsi="Times New Roman"/>
          <w:sz w:val="22"/>
          <w:szCs w:val="22"/>
        </w:rPr>
        <w:t>Communication details</w:t>
      </w:r>
    </w:p>
    <w:p w14:paraId="7A08231A" w14:textId="0BA39A04" w:rsidR="003F3783" w:rsidRPr="003F3783" w:rsidRDefault="003F3783" w:rsidP="00B5440B">
      <w:pPr>
        <w:spacing w:before="0"/>
        <w:ind w:left="1134" w:hanging="567"/>
        <w:jc w:val="both"/>
        <w:rPr>
          <w:rFonts w:ascii="Times New Roman" w:hAnsi="Times New Roman"/>
          <w:b/>
          <w:bCs/>
          <w:sz w:val="22"/>
          <w:szCs w:val="22"/>
        </w:rPr>
      </w:pPr>
      <w:bookmarkStart w:id="7" w:name="_Hlk133420420"/>
      <w:bookmarkEnd w:id="6"/>
      <w:r>
        <w:rPr>
          <w:rFonts w:ascii="Times New Roman" w:hAnsi="Times New Roman"/>
          <w:sz w:val="22"/>
          <w:szCs w:val="22"/>
        </w:rPr>
        <w:t>4.</w:t>
      </w:r>
      <w:r w:rsidR="00D7711A">
        <w:rPr>
          <w:rFonts w:ascii="Times New Roman" w:hAnsi="Times New Roman"/>
          <w:sz w:val="22"/>
          <w:szCs w:val="22"/>
        </w:rPr>
        <w:t>4</w:t>
      </w:r>
      <w:r w:rsidRPr="003F3783">
        <w:rPr>
          <w:rFonts w:ascii="Times New Roman" w:hAnsi="Times New Roman"/>
          <w:sz w:val="22"/>
          <w:szCs w:val="22"/>
        </w:rPr>
        <w:tab/>
        <w:t>Communication via electronic exchange system (EES)</w:t>
      </w:r>
      <w:r w:rsidRPr="003F3783">
        <w:rPr>
          <w:rFonts w:ascii="Times New Roman" w:hAnsi="Times New Roman"/>
          <w:b/>
          <w:bCs/>
          <w:sz w:val="22"/>
          <w:szCs w:val="22"/>
        </w:rPr>
        <w:t> </w:t>
      </w:r>
    </w:p>
    <w:p w14:paraId="25379D2D" w14:textId="4F33E1FF" w:rsidR="003F3783" w:rsidRPr="003F3783" w:rsidRDefault="003F3783" w:rsidP="00B5440B">
      <w:pPr>
        <w:spacing w:before="0"/>
        <w:ind w:left="1134"/>
        <w:jc w:val="both"/>
        <w:rPr>
          <w:rFonts w:ascii="Times New Roman" w:hAnsi="Times New Roman"/>
          <w:sz w:val="22"/>
          <w:szCs w:val="22"/>
        </w:rPr>
      </w:pPr>
      <w:r w:rsidRPr="003F3783">
        <w:rPr>
          <w:rFonts w:ascii="Times New Roman" w:hAnsi="Times New Roman"/>
          <w:sz w:val="22"/>
          <w:szCs w:val="22"/>
        </w:rPr>
        <w:t xml:space="preserve">An electronic system will be used by the contracting authority and the contractor for all stages of implementation including, inter alia, management of the contract (amendments and administrative orders), reporting (including reporting on results) and payments. The contractor will be required to register in and use the appropriate electronic exchange system to allow for the e-management of the contract. </w:t>
      </w:r>
    </w:p>
    <w:p w14:paraId="485D03AC" w14:textId="77777777" w:rsidR="003F3783" w:rsidRPr="006D100D" w:rsidRDefault="003F3783" w:rsidP="00B5440B">
      <w:pPr>
        <w:spacing w:before="0"/>
        <w:ind w:left="1134"/>
        <w:jc w:val="both"/>
        <w:textAlignment w:val="baseline"/>
        <w:rPr>
          <w:rFonts w:ascii="Times New Roman" w:hAnsi="Times New Roman"/>
          <w:snapToGrid/>
          <w:sz w:val="24"/>
          <w:szCs w:val="24"/>
          <w:lang w:val="en-US" w:eastAsia="fr-BE"/>
        </w:rPr>
      </w:pPr>
      <w:r w:rsidRPr="006D100D">
        <w:rPr>
          <w:rFonts w:ascii="Times New Roman" w:hAnsi="Times New Roman"/>
          <w:snapToGrid/>
          <w:sz w:val="22"/>
          <w:szCs w:val="22"/>
          <w:lang w:val="en-US" w:eastAsia="fr-BE"/>
        </w:rPr>
        <w:t xml:space="preserve">After the entry into force of this </w:t>
      </w:r>
      <w:r w:rsidRPr="006D100D">
        <w:rPr>
          <w:rFonts w:ascii="Times New Roman" w:hAnsi="Times New Roman"/>
          <w:snapToGrid/>
          <w:color w:val="000000"/>
          <w:sz w:val="22"/>
          <w:szCs w:val="22"/>
          <w:lang w:eastAsia="fr-BE"/>
        </w:rPr>
        <w:t>contract</w:t>
      </w:r>
      <w:r w:rsidRPr="006D100D">
        <w:rPr>
          <w:rFonts w:ascii="Times New Roman" w:hAnsi="Times New Roman"/>
          <w:snapToGrid/>
          <w:sz w:val="22"/>
          <w:szCs w:val="22"/>
          <w:lang w:val="en-US" w:eastAsia="fr-BE"/>
        </w:rPr>
        <w:t xml:space="preserve">, at any time during its course the contracting authority may formally notify in writing the contractor that </w:t>
      </w:r>
      <w:r w:rsidRPr="006D100D">
        <w:rPr>
          <w:rFonts w:ascii="Times New Roman" w:hAnsi="Times New Roman"/>
          <w:snapToGrid/>
          <w:sz w:val="22"/>
          <w:szCs w:val="22"/>
          <w:lang w:eastAsia="fr-BE"/>
        </w:rPr>
        <w:t xml:space="preserve">certain communications will be made by electronic means through the </w:t>
      </w:r>
      <w:r w:rsidRPr="006D100D">
        <w:rPr>
          <w:rFonts w:ascii="Times New Roman" w:hAnsi="Times New Roman"/>
          <w:snapToGrid/>
          <w:sz w:val="22"/>
          <w:szCs w:val="22"/>
          <w:lang w:eastAsia="en-GB"/>
        </w:rPr>
        <w:t>EU Funding &amp; Tenders Portal (the</w:t>
      </w:r>
      <w:r w:rsidRPr="006D100D">
        <w:rPr>
          <w:rFonts w:ascii="Times New Roman" w:hAnsi="Times New Roman"/>
          <w:snapToGrid/>
          <w:sz w:val="22"/>
          <w:szCs w:val="22"/>
          <w:lang w:eastAsia="fr-BE"/>
        </w:rPr>
        <w:t xml:space="preserve"> Portal), in accordance with the Portal Terms and Conditions and using the forms and templates provided there. The Portal can be accessed via the following URL: </w:t>
      </w:r>
      <w:hyperlink r:id="rId8" w:history="1">
        <w:r w:rsidRPr="006D100D">
          <w:rPr>
            <w:rFonts w:ascii="Times New Roman" w:hAnsi="Times New Roman"/>
            <w:snapToGrid/>
            <w:color w:val="0000FF"/>
            <w:sz w:val="22"/>
            <w:szCs w:val="22"/>
            <w:u w:val="single"/>
            <w:lang w:eastAsia="fr-BE"/>
          </w:rPr>
          <w:t>https://ec.europa.eu/info/funding-tenders/opportunities/portal/</w:t>
        </w:r>
      </w:hyperlink>
      <w:r w:rsidRPr="006D100D">
        <w:rPr>
          <w:rFonts w:ascii="Times New Roman" w:hAnsi="Times New Roman"/>
          <w:snapToGrid/>
          <w:sz w:val="22"/>
          <w:szCs w:val="22"/>
          <w:lang w:eastAsia="fr-BE"/>
        </w:rPr>
        <w:t xml:space="preserve"> </w:t>
      </w:r>
      <w:proofErr w:type="gramStart"/>
      <w:r w:rsidRPr="006D100D">
        <w:rPr>
          <w:rFonts w:ascii="Times New Roman" w:hAnsi="Times New Roman"/>
          <w:snapToGrid/>
          <w:sz w:val="22"/>
          <w:szCs w:val="22"/>
          <w:lang w:val="en-US" w:eastAsia="fr-BE"/>
        </w:rPr>
        <w:t>The</w:t>
      </w:r>
      <w:proofErr w:type="gramEnd"/>
      <w:r w:rsidRPr="006D100D">
        <w:rPr>
          <w:rFonts w:ascii="Times New Roman" w:hAnsi="Times New Roman"/>
          <w:snapToGrid/>
          <w:sz w:val="22"/>
          <w:szCs w:val="22"/>
          <w:lang w:val="en-US" w:eastAsia="fr-BE"/>
        </w:rPr>
        <w:t xml:space="preserve"> notification shall indicate whether all or only certain communications under the </w:t>
      </w:r>
      <w:r w:rsidRPr="006D100D">
        <w:rPr>
          <w:rFonts w:ascii="Times New Roman" w:hAnsi="Times New Roman"/>
          <w:snapToGrid/>
          <w:color w:val="000000"/>
          <w:sz w:val="22"/>
          <w:szCs w:val="22"/>
          <w:lang w:eastAsia="fr-BE"/>
        </w:rPr>
        <w:t>contract</w:t>
      </w:r>
      <w:r w:rsidRPr="006D100D">
        <w:rPr>
          <w:rFonts w:ascii="Times New Roman" w:hAnsi="Times New Roman"/>
          <w:snapToGrid/>
          <w:sz w:val="22"/>
          <w:szCs w:val="22"/>
          <w:lang w:val="en-US" w:eastAsia="fr-BE"/>
        </w:rPr>
        <w:t xml:space="preserve"> will take place through the Portal. The notification shall have full legal effect from the date specified therein, which shall allow a reasonable period of time for the contractor to complete all necessary steps to have access to the Portal.</w:t>
      </w:r>
      <w:r w:rsidRPr="006D100D">
        <w:rPr>
          <w:rFonts w:ascii="Times New Roman" w:hAnsi="Times New Roman"/>
          <w:snapToGrid/>
          <w:sz w:val="22"/>
          <w:szCs w:val="22"/>
          <w:lang w:eastAsia="fr-BE"/>
        </w:rPr>
        <w:t xml:space="preserve"> The activation of the use of the Portal shall be </w:t>
      </w:r>
      <w:r w:rsidRPr="006D100D">
        <w:rPr>
          <w:rFonts w:ascii="Times New Roman" w:hAnsi="Times New Roman"/>
          <w:snapToGrid/>
          <w:sz w:val="22"/>
          <w:szCs w:val="22"/>
          <w:lang w:val="en-US" w:eastAsia="fr-BE"/>
        </w:rPr>
        <w:t>at no additional cost for the contracting authority</w:t>
      </w:r>
      <w:r w:rsidRPr="006D100D">
        <w:rPr>
          <w:rFonts w:ascii="Times New Roman" w:hAnsi="Times New Roman"/>
          <w:snapToGrid/>
          <w:sz w:val="22"/>
          <w:szCs w:val="22"/>
          <w:lang w:eastAsia="fr-BE"/>
        </w:rPr>
        <w:t>.</w:t>
      </w:r>
    </w:p>
    <w:p w14:paraId="3362C1D0" w14:textId="77777777" w:rsidR="003F3783" w:rsidRPr="006D100D" w:rsidRDefault="003F3783" w:rsidP="00B5440B">
      <w:pPr>
        <w:spacing w:before="0"/>
        <w:ind w:left="1134"/>
        <w:jc w:val="both"/>
        <w:textAlignment w:val="baseline"/>
        <w:rPr>
          <w:rFonts w:ascii="Times New Roman" w:hAnsi="Times New Roman"/>
          <w:snapToGrid/>
          <w:sz w:val="24"/>
          <w:szCs w:val="24"/>
          <w:lang w:val="en-IE" w:eastAsia="fr-BE"/>
        </w:rPr>
      </w:pPr>
      <w:r w:rsidRPr="006D100D">
        <w:rPr>
          <w:rFonts w:ascii="Times New Roman" w:hAnsi="Times New Roman"/>
          <w:snapToGrid/>
          <w:sz w:val="22"/>
          <w:szCs w:val="22"/>
          <w:lang w:eastAsia="fr-BE"/>
        </w:rPr>
        <w:t xml:space="preserve">If the use of the Portal is activated, any communication covered by the activation notification related to the implementation of this </w:t>
      </w:r>
      <w:r w:rsidRPr="006D100D">
        <w:rPr>
          <w:rFonts w:ascii="Times New Roman" w:hAnsi="Times New Roman"/>
          <w:snapToGrid/>
          <w:color w:val="000000"/>
          <w:sz w:val="22"/>
          <w:szCs w:val="22"/>
          <w:lang w:eastAsia="fr-BE"/>
        </w:rPr>
        <w:t>contract</w:t>
      </w:r>
      <w:r w:rsidRPr="006D100D">
        <w:rPr>
          <w:rFonts w:ascii="Times New Roman" w:hAnsi="Times New Roman"/>
          <w:snapToGrid/>
          <w:sz w:val="22"/>
          <w:szCs w:val="22"/>
          <w:lang w:eastAsia="fr-BE"/>
        </w:rPr>
        <w:t xml:space="preserve"> shall be made through the </w:t>
      </w:r>
      <w:r w:rsidRPr="006D100D">
        <w:rPr>
          <w:rFonts w:ascii="Times New Roman" w:hAnsi="Times New Roman"/>
          <w:bCs/>
          <w:snapToGrid/>
          <w:sz w:val="22"/>
          <w:szCs w:val="22"/>
          <w:lang w:eastAsia="fr-BE"/>
        </w:rPr>
        <w:t>Portal</w:t>
      </w:r>
      <w:r w:rsidRPr="006D100D">
        <w:rPr>
          <w:rFonts w:ascii="Times New Roman" w:hAnsi="Times New Roman"/>
          <w:bCs/>
          <w:snapToGrid/>
          <w:sz w:val="22"/>
          <w:szCs w:val="22"/>
          <w:lang w:val="en-IE" w:eastAsia="fr-BE"/>
        </w:rPr>
        <w:t xml:space="preserve"> </w:t>
      </w:r>
      <w:r w:rsidRPr="006D100D">
        <w:rPr>
          <w:rFonts w:ascii="Times New Roman" w:hAnsi="Times New Roman"/>
          <w:bCs/>
          <w:snapToGrid/>
          <w:sz w:val="22"/>
          <w:szCs w:val="22"/>
          <w:lang w:eastAsia="fr-BE"/>
        </w:rPr>
        <w:t>(except if explicitly instructed otherwise by the contracting authority or if communication via the Portal is hindered by factors beyond the control of the parties).</w:t>
      </w:r>
    </w:p>
    <w:p w14:paraId="6EB22AB7" w14:textId="6447E6BF" w:rsidR="003F3783" w:rsidRPr="006D100D" w:rsidRDefault="003F3783" w:rsidP="00B5440B">
      <w:pPr>
        <w:spacing w:before="0"/>
        <w:ind w:left="1134"/>
        <w:jc w:val="both"/>
        <w:textAlignment w:val="baseline"/>
        <w:rPr>
          <w:rFonts w:ascii="Times New Roman" w:hAnsi="Times New Roman"/>
          <w:snapToGrid/>
          <w:sz w:val="24"/>
          <w:szCs w:val="24"/>
        </w:rPr>
      </w:pPr>
      <w:r w:rsidRPr="006D100D">
        <w:rPr>
          <w:rFonts w:ascii="Times New Roman" w:hAnsi="Times New Roman"/>
          <w:snapToGrid/>
          <w:sz w:val="22"/>
          <w:szCs w:val="22"/>
          <w:lang w:val="en-US" w:eastAsia="en-GB"/>
        </w:rPr>
        <w:t xml:space="preserve">Communications by contractors through the Portal must be made by persons </w:t>
      </w:r>
      <w:r w:rsidR="006D100D" w:rsidRPr="006D100D">
        <w:rPr>
          <w:rFonts w:ascii="Times New Roman" w:hAnsi="Times New Roman"/>
          <w:snapToGrid/>
          <w:sz w:val="22"/>
          <w:szCs w:val="22"/>
          <w:lang w:val="en-US" w:eastAsia="en-GB"/>
        </w:rPr>
        <w:t>authorized</w:t>
      </w:r>
      <w:r w:rsidRPr="006D100D">
        <w:rPr>
          <w:rFonts w:ascii="Times New Roman" w:hAnsi="Times New Roman"/>
          <w:snapToGrid/>
          <w:sz w:val="22"/>
          <w:szCs w:val="22"/>
          <w:lang w:val="en-US" w:eastAsia="en-GB"/>
        </w:rPr>
        <w:t xml:space="preserve"> according to the Portal Terms and Conditions. </w:t>
      </w:r>
      <w:r w:rsidRPr="006D100D">
        <w:rPr>
          <w:rFonts w:ascii="Times New Roman" w:hAnsi="Times New Roman"/>
          <w:snapToGrid/>
          <w:sz w:val="22"/>
          <w:szCs w:val="22"/>
          <w:lang w:eastAsia="fr-BE"/>
        </w:rPr>
        <w:t xml:space="preserve">For naming the authorised persons to use </w:t>
      </w:r>
      <w:r w:rsidRPr="006D100D">
        <w:rPr>
          <w:rFonts w:ascii="Times New Roman" w:hAnsi="Times New Roman"/>
          <w:snapToGrid/>
          <w:sz w:val="22"/>
          <w:szCs w:val="22"/>
          <w:lang w:eastAsia="fr-BE"/>
        </w:rPr>
        <w:lastRenderedPageBreak/>
        <w:t>the Portal, each contractor must designate before the date of effect of the activation notification a ‘legal entity appointed representative (LEAR)’. The role and tasks of the LEAR are stipulated in their appointment letter (see Portal Terms and Conditions).</w:t>
      </w:r>
    </w:p>
    <w:p w14:paraId="441DACBC" w14:textId="77777777" w:rsidR="003F3783" w:rsidRPr="006D100D" w:rsidRDefault="003F3783" w:rsidP="00B5440B">
      <w:pPr>
        <w:spacing w:before="0"/>
        <w:ind w:left="1134"/>
        <w:jc w:val="both"/>
        <w:textAlignment w:val="baseline"/>
        <w:rPr>
          <w:rFonts w:ascii="Times New Roman" w:hAnsi="Times New Roman"/>
          <w:snapToGrid/>
          <w:sz w:val="24"/>
          <w:lang w:eastAsia="fr-BE"/>
        </w:rPr>
      </w:pPr>
      <w:r w:rsidRPr="006D100D">
        <w:rPr>
          <w:rFonts w:ascii="Times New Roman" w:hAnsi="Times New Roman"/>
          <w:snapToGrid/>
          <w:sz w:val="22"/>
          <w:szCs w:val="22"/>
          <w:lang w:eastAsia="fr-BE"/>
        </w:rPr>
        <w:t>If the communication via the Portal is hindered, instructions will be provided by the contracting authority by email and may also be published on the Portal.</w:t>
      </w:r>
    </w:p>
    <w:p w14:paraId="417884AF" w14:textId="77777777" w:rsidR="003F3783" w:rsidRPr="006D100D" w:rsidRDefault="003F3783" w:rsidP="00B5440B">
      <w:pPr>
        <w:spacing w:before="0"/>
        <w:ind w:left="1134"/>
        <w:jc w:val="both"/>
        <w:textAlignment w:val="baseline"/>
        <w:rPr>
          <w:rFonts w:ascii="Times New Roman" w:hAnsi="Times New Roman"/>
          <w:snapToGrid/>
          <w:sz w:val="22"/>
          <w:szCs w:val="22"/>
          <w:lang w:eastAsia="fr-BE"/>
        </w:rPr>
      </w:pPr>
      <w:r w:rsidRPr="006D100D">
        <w:rPr>
          <w:rFonts w:ascii="Times New Roman" w:hAnsi="Times New Roman"/>
          <w:snapToGrid/>
          <w:sz w:val="22"/>
          <w:szCs w:val="22"/>
          <w:lang w:eastAsia="fr-BE"/>
        </w:rPr>
        <w:t xml:space="preserve">During the course of the </w:t>
      </w:r>
      <w:r w:rsidRPr="006D100D">
        <w:rPr>
          <w:rFonts w:ascii="Times New Roman" w:hAnsi="Times New Roman"/>
          <w:snapToGrid/>
          <w:color w:val="000000"/>
          <w:sz w:val="22"/>
          <w:szCs w:val="22"/>
          <w:lang w:eastAsia="fr-BE"/>
        </w:rPr>
        <w:t>contract</w:t>
      </w:r>
      <w:r w:rsidRPr="006D100D">
        <w:rPr>
          <w:rFonts w:ascii="Times New Roman" w:hAnsi="Times New Roman"/>
          <w:snapToGrid/>
          <w:sz w:val="22"/>
          <w:szCs w:val="22"/>
          <w:lang w:eastAsia="fr-BE"/>
        </w:rPr>
        <w:t xml:space="preserve">, the contracting authority reserve(s) the right to further extend the coverage of the communications made through the Portal (if its use has been already activated) or to activate the use of other electronic exchange systems, </w:t>
      </w:r>
      <w:r w:rsidRPr="006D100D">
        <w:rPr>
          <w:rFonts w:ascii="Times New Roman" w:hAnsi="Times New Roman"/>
          <w:snapToGrid/>
          <w:sz w:val="22"/>
          <w:szCs w:val="22"/>
          <w:lang w:val="en-US" w:eastAsia="fr-BE"/>
        </w:rPr>
        <w:t>at no additional cost for the contracting authority</w:t>
      </w:r>
      <w:r w:rsidRPr="006D100D">
        <w:rPr>
          <w:rFonts w:ascii="Times New Roman" w:hAnsi="Times New Roman"/>
          <w:snapToGrid/>
          <w:sz w:val="22"/>
          <w:szCs w:val="22"/>
          <w:lang w:eastAsia="fr-BE"/>
        </w:rPr>
        <w:t>.</w:t>
      </w:r>
    </w:p>
    <w:p w14:paraId="478705FD" w14:textId="0979BE17" w:rsidR="003F3783" w:rsidRPr="003F3783" w:rsidRDefault="003F3783" w:rsidP="00B5440B">
      <w:pPr>
        <w:spacing w:before="0" w:after="240"/>
        <w:ind w:left="1134"/>
        <w:jc w:val="both"/>
        <w:rPr>
          <w:rFonts w:ascii="Times New Roman" w:hAnsi="Times New Roman"/>
          <w:snapToGrid/>
          <w:color w:val="000000"/>
          <w:sz w:val="22"/>
          <w:szCs w:val="22"/>
          <w:lang w:eastAsia="fr-BE"/>
        </w:rPr>
      </w:pPr>
      <w:r w:rsidRPr="006D100D">
        <w:rPr>
          <w:rFonts w:ascii="Times New Roman" w:hAnsi="Times New Roman"/>
          <w:snapToGrid/>
          <w:sz w:val="22"/>
          <w:szCs w:val="22"/>
          <w:lang w:eastAsia="fr-BE"/>
        </w:rPr>
        <w:t xml:space="preserve">In case of discrepancy between the clauses of the </w:t>
      </w:r>
      <w:r w:rsidRPr="006D100D">
        <w:rPr>
          <w:rFonts w:ascii="Times New Roman" w:hAnsi="Times New Roman"/>
          <w:snapToGrid/>
          <w:color w:val="000000"/>
          <w:sz w:val="22"/>
          <w:szCs w:val="22"/>
          <w:lang w:eastAsia="fr-BE"/>
        </w:rPr>
        <w:t>Portal Terms and Conditions or Terms and Conditions of other electronic exchange system and the clauses of this contract, the clauses of this contract (including its annexes) shall prevail.</w:t>
      </w:r>
    </w:p>
    <w:p w14:paraId="7F1BE0E1" w14:textId="1471D4E6" w:rsidR="003F3783" w:rsidRDefault="003F3783" w:rsidP="00B5440B">
      <w:pPr>
        <w:ind w:left="1134" w:hanging="992"/>
        <w:jc w:val="both"/>
        <w:rPr>
          <w:rFonts w:ascii="Times New Roman" w:hAnsi="Times New Roman"/>
          <w:iCs/>
          <w:sz w:val="22"/>
          <w:szCs w:val="22"/>
        </w:rPr>
      </w:pPr>
      <w:r>
        <w:rPr>
          <w:rFonts w:ascii="Times New Roman" w:hAnsi="Times New Roman"/>
          <w:sz w:val="22"/>
          <w:szCs w:val="22"/>
        </w:rPr>
        <w:t>4.</w:t>
      </w:r>
      <w:r w:rsidR="00D7711A">
        <w:rPr>
          <w:rFonts w:ascii="Times New Roman" w:hAnsi="Times New Roman"/>
          <w:sz w:val="22"/>
          <w:szCs w:val="22"/>
        </w:rPr>
        <w:t>5 &amp; 4.6</w:t>
      </w:r>
      <w:r w:rsidR="009D0375">
        <w:rPr>
          <w:rFonts w:ascii="Times New Roman" w:hAnsi="Times New Roman"/>
          <w:sz w:val="22"/>
          <w:szCs w:val="22"/>
        </w:rPr>
        <w:tab/>
      </w:r>
      <w:r w:rsidRPr="003F3783">
        <w:rPr>
          <w:rFonts w:ascii="Times New Roman" w:hAnsi="Times New Roman"/>
          <w:iCs/>
          <w:sz w:val="22"/>
          <w:szCs w:val="22"/>
        </w:rPr>
        <w:t>Mail or email communication </w:t>
      </w:r>
    </w:p>
    <w:p w14:paraId="19BB35F4" w14:textId="18DB4AC8" w:rsidR="003F3783" w:rsidRPr="003F3783" w:rsidRDefault="003F3783" w:rsidP="00B5440B">
      <w:pPr>
        <w:keepNext/>
        <w:keepLines/>
        <w:spacing w:before="0"/>
        <w:ind w:left="1134"/>
        <w:jc w:val="both"/>
        <w:rPr>
          <w:rFonts w:ascii="Times New Roman" w:hAnsi="Times New Roman"/>
          <w:snapToGrid/>
          <w:sz w:val="22"/>
          <w:szCs w:val="22"/>
          <w:lang w:eastAsia="en-GB"/>
        </w:rPr>
      </w:pPr>
      <w:r w:rsidRPr="003F3783">
        <w:rPr>
          <w:rFonts w:ascii="Times New Roman" w:hAnsi="Times New Roman"/>
          <w:snapToGrid/>
          <w:sz w:val="22"/>
          <w:szCs w:val="22"/>
          <w:lang w:eastAsia="en-GB"/>
        </w:rPr>
        <w:t>If communications through the Portal have not been activated or a certain type of communication is not yet supported by the Portal, communications will be sent via email, or, exceptionally, on paper, via mail services, to the following addresses, until communications via the Portal are activated.</w:t>
      </w:r>
    </w:p>
    <w:p w14:paraId="3E118F28" w14:textId="77777777" w:rsidR="003F3783" w:rsidRPr="003F3783" w:rsidRDefault="003F3783" w:rsidP="00B5440B">
      <w:pPr>
        <w:spacing w:before="0"/>
        <w:ind w:left="1134"/>
        <w:jc w:val="both"/>
        <w:textAlignment w:val="baseline"/>
        <w:rPr>
          <w:rFonts w:ascii="Times New Roman" w:hAnsi="Times New Roman"/>
          <w:snapToGrid/>
          <w:sz w:val="24"/>
          <w:szCs w:val="24"/>
          <w:lang w:eastAsia="fr-BE"/>
        </w:rPr>
      </w:pPr>
      <w:r w:rsidRPr="003F3783">
        <w:rPr>
          <w:rFonts w:ascii="Times New Roman" w:hAnsi="Times New Roman"/>
          <w:snapToGrid/>
          <w:sz w:val="22"/>
          <w:szCs w:val="22"/>
          <w:lang w:eastAsia="fr-BE"/>
        </w:rPr>
        <w:t xml:space="preserve">For the purpose of this </w:t>
      </w:r>
      <w:r w:rsidRPr="003F3783">
        <w:rPr>
          <w:rFonts w:ascii="Times New Roman" w:hAnsi="Times New Roman"/>
          <w:snapToGrid/>
          <w:color w:val="000000"/>
          <w:sz w:val="22"/>
          <w:szCs w:val="22"/>
          <w:lang w:eastAsia="fr-BE"/>
        </w:rPr>
        <w:t>contract</w:t>
      </w:r>
      <w:r w:rsidRPr="003F3783">
        <w:rPr>
          <w:rFonts w:ascii="Times New Roman" w:hAnsi="Times New Roman"/>
          <w:snapToGrid/>
          <w:sz w:val="22"/>
          <w:szCs w:val="22"/>
          <w:lang w:eastAsia="fr-BE"/>
        </w:rPr>
        <w:t>, mail or email communications must be sent to the following addresses: </w:t>
      </w:r>
    </w:p>
    <w:p w14:paraId="42ADD03E" w14:textId="77777777" w:rsidR="003F3783" w:rsidRPr="003F3783" w:rsidRDefault="003F3783" w:rsidP="00B5440B">
      <w:pPr>
        <w:spacing w:before="0"/>
        <w:ind w:left="1134"/>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Contracting authority: </w:t>
      </w:r>
    </w:p>
    <w:p w14:paraId="1427A4AB" w14:textId="6F444ADC" w:rsidR="005F4144" w:rsidRPr="005F4144" w:rsidRDefault="005F4144" w:rsidP="005F4144">
      <w:pPr>
        <w:spacing w:before="0" w:after="0" w:line="0" w:lineRule="atLeast"/>
        <w:ind w:left="1134"/>
        <w:jc w:val="both"/>
        <w:rPr>
          <w:rFonts w:ascii="Times New Roman" w:hAnsi="Times New Roman"/>
          <w:b/>
          <w:sz w:val="22"/>
          <w:szCs w:val="22"/>
        </w:rPr>
      </w:pPr>
      <w:r>
        <w:rPr>
          <w:rFonts w:ascii="Times New Roman" w:hAnsi="Times New Roman"/>
          <w:b/>
          <w:sz w:val="22"/>
          <w:szCs w:val="22"/>
        </w:rPr>
        <w:t xml:space="preserve"> </w:t>
      </w:r>
      <w:proofErr w:type="spellStart"/>
      <w:r w:rsidRPr="005F4144">
        <w:rPr>
          <w:rFonts w:ascii="Times New Roman" w:hAnsi="Times New Roman"/>
          <w:b/>
          <w:sz w:val="22"/>
          <w:szCs w:val="22"/>
        </w:rPr>
        <w:t>FRiT</w:t>
      </w:r>
      <w:proofErr w:type="spellEnd"/>
      <w:r w:rsidRPr="005F4144">
        <w:rPr>
          <w:rFonts w:ascii="Times New Roman" w:hAnsi="Times New Roman"/>
          <w:b/>
          <w:sz w:val="22"/>
          <w:szCs w:val="22"/>
        </w:rPr>
        <w:t xml:space="preserve"> Coordinator Office</w:t>
      </w:r>
    </w:p>
    <w:p w14:paraId="523FFD0C" w14:textId="5E73E573" w:rsidR="00F865B8" w:rsidRDefault="005F4144" w:rsidP="005F4144">
      <w:pPr>
        <w:spacing w:before="0" w:after="0" w:line="0" w:lineRule="atLeast"/>
        <w:ind w:left="1134"/>
        <w:jc w:val="both"/>
        <w:rPr>
          <w:rFonts w:ascii="Times New Roman" w:hAnsi="Times New Roman"/>
          <w:b/>
          <w:sz w:val="22"/>
          <w:szCs w:val="22"/>
        </w:rPr>
      </w:pPr>
      <w:r>
        <w:rPr>
          <w:rFonts w:ascii="Times New Roman" w:hAnsi="Times New Roman"/>
          <w:b/>
          <w:sz w:val="22"/>
          <w:szCs w:val="22"/>
        </w:rPr>
        <w:t xml:space="preserve"> </w:t>
      </w:r>
      <w:proofErr w:type="spellStart"/>
      <w:r w:rsidRPr="005F4144">
        <w:rPr>
          <w:rFonts w:ascii="Times New Roman" w:hAnsi="Times New Roman"/>
          <w:b/>
          <w:sz w:val="22"/>
          <w:szCs w:val="22"/>
        </w:rPr>
        <w:t>Çukurambar</w:t>
      </w:r>
      <w:proofErr w:type="spellEnd"/>
      <w:r w:rsidRPr="005F4144">
        <w:rPr>
          <w:rFonts w:ascii="Times New Roman" w:hAnsi="Times New Roman"/>
          <w:b/>
          <w:sz w:val="22"/>
          <w:szCs w:val="22"/>
        </w:rPr>
        <w:t xml:space="preserve"> </w:t>
      </w:r>
      <w:proofErr w:type="spellStart"/>
      <w:r w:rsidRPr="005F4144">
        <w:rPr>
          <w:rFonts w:ascii="Times New Roman" w:hAnsi="Times New Roman"/>
          <w:b/>
          <w:sz w:val="22"/>
          <w:szCs w:val="22"/>
        </w:rPr>
        <w:t>Mahallesi</w:t>
      </w:r>
      <w:proofErr w:type="spellEnd"/>
      <w:r w:rsidRPr="005F4144">
        <w:rPr>
          <w:rFonts w:ascii="Times New Roman" w:hAnsi="Times New Roman"/>
          <w:b/>
          <w:sz w:val="22"/>
          <w:szCs w:val="22"/>
        </w:rPr>
        <w:t xml:space="preserve"> Malcolm X </w:t>
      </w:r>
      <w:proofErr w:type="spellStart"/>
      <w:r w:rsidRPr="005F4144">
        <w:rPr>
          <w:rFonts w:ascii="Times New Roman" w:hAnsi="Times New Roman"/>
          <w:b/>
          <w:sz w:val="22"/>
          <w:szCs w:val="22"/>
        </w:rPr>
        <w:t>Caddesi</w:t>
      </w:r>
      <w:proofErr w:type="spellEnd"/>
      <w:r w:rsidRPr="005F4144">
        <w:rPr>
          <w:rFonts w:ascii="Times New Roman" w:hAnsi="Times New Roman"/>
          <w:b/>
          <w:sz w:val="22"/>
          <w:szCs w:val="22"/>
        </w:rPr>
        <w:t xml:space="preserve"> No</w:t>
      </w:r>
      <w:proofErr w:type="gramStart"/>
      <w:r w:rsidRPr="005F4144">
        <w:rPr>
          <w:rFonts w:ascii="Times New Roman" w:hAnsi="Times New Roman"/>
          <w:b/>
          <w:sz w:val="22"/>
          <w:szCs w:val="22"/>
        </w:rPr>
        <w:t>:22</w:t>
      </w:r>
      <w:proofErr w:type="gramEnd"/>
      <w:r w:rsidRPr="005F4144">
        <w:rPr>
          <w:rFonts w:ascii="Times New Roman" w:hAnsi="Times New Roman"/>
          <w:b/>
          <w:sz w:val="22"/>
          <w:szCs w:val="22"/>
        </w:rPr>
        <w:t xml:space="preserve"> </w:t>
      </w:r>
      <w:proofErr w:type="spellStart"/>
      <w:r w:rsidRPr="005F4144">
        <w:rPr>
          <w:rFonts w:ascii="Times New Roman" w:hAnsi="Times New Roman"/>
          <w:b/>
          <w:sz w:val="22"/>
          <w:szCs w:val="22"/>
        </w:rPr>
        <w:t>Çankaya</w:t>
      </w:r>
      <w:proofErr w:type="spellEnd"/>
      <w:r w:rsidRPr="005F4144">
        <w:rPr>
          <w:rFonts w:ascii="Times New Roman" w:hAnsi="Times New Roman"/>
          <w:b/>
          <w:sz w:val="22"/>
          <w:szCs w:val="22"/>
        </w:rPr>
        <w:t xml:space="preserve"> Ankara    TÜRKİYE</w:t>
      </w:r>
    </w:p>
    <w:p w14:paraId="1F365D79" w14:textId="07056DF2" w:rsidR="005F4144" w:rsidRPr="00A66F99" w:rsidRDefault="00D5103C" w:rsidP="005F4144">
      <w:pPr>
        <w:spacing w:before="0" w:after="0" w:line="0" w:lineRule="atLeast"/>
        <w:ind w:left="1134"/>
        <w:jc w:val="both"/>
        <w:rPr>
          <w:rFonts w:ascii="Times New Roman" w:hAnsi="Times New Roman"/>
          <w:sz w:val="22"/>
          <w:szCs w:val="22"/>
        </w:rPr>
      </w:pPr>
      <w:hyperlink r:id="rId9" w:history="1">
        <w:r w:rsidR="005F4144" w:rsidRPr="003B12E6">
          <w:rPr>
            <w:rStyle w:val="Kpr"/>
            <w:sz w:val="22"/>
            <w:szCs w:val="22"/>
          </w:rPr>
          <w:t>fritsatinalma@aile.gov.tr</w:t>
        </w:r>
      </w:hyperlink>
      <w:r w:rsidR="005F4144">
        <w:rPr>
          <w:sz w:val="22"/>
          <w:szCs w:val="22"/>
        </w:rPr>
        <w:t xml:space="preserve"> </w:t>
      </w:r>
      <w:r w:rsidR="005F4144" w:rsidRPr="00F93954">
        <w:rPr>
          <w:sz w:val="22"/>
          <w:szCs w:val="22"/>
        </w:rPr>
        <w:t>and muammer.ozkarakaya@aile.gov.tr/ burak.yildiz@aile.gov.tr</w:t>
      </w:r>
    </w:p>
    <w:p w14:paraId="6BBB6A0E" w14:textId="77777777" w:rsidR="003F3783" w:rsidRPr="003F3783" w:rsidRDefault="003F3783" w:rsidP="00F865B8">
      <w:pPr>
        <w:spacing w:before="100" w:beforeAutospacing="1" w:after="100" w:afterAutospacing="1"/>
        <w:ind w:left="414" w:firstLine="720"/>
        <w:textAlignment w:val="baseline"/>
        <w:rPr>
          <w:rFonts w:ascii="Times New Roman" w:hAnsi="Times New Roman"/>
          <w:snapToGrid/>
          <w:sz w:val="22"/>
          <w:szCs w:val="22"/>
          <w:lang w:eastAsia="fr-BE"/>
        </w:rPr>
      </w:pPr>
      <w:r w:rsidRPr="003F3783">
        <w:rPr>
          <w:rFonts w:ascii="Times New Roman" w:hAnsi="Times New Roman"/>
          <w:snapToGrid/>
          <w:sz w:val="22"/>
          <w:szCs w:val="22"/>
          <w:lang w:eastAsia="fr-BE"/>
        </w:rPr>
        <w:t>Contractor (or leader in the case of a joint tender): </w:t>
      </w:r>
    </w:p>
    <w:p w14:paraId="0FE088EF"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name</w:t>
      </w:r>
      <w:r w:rsidRPr="002F3C0E">
        <w:rPr>
          <w:rFonts w:ascii="Times New Roman" w:hAnsi="Times New Roman"/>
          <w:snapToGrid/>
          <w:sz w:val="22"/>
          <w:szCs w:val="22"/>
          <w:lang w:eastAsia="fr-BE"/>
        </w:rPr>
        <w:t>] </w:t>
      </w:r>
    </w:p>
    <w:p w14:paraId="33F1F764"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Function</w:t>
      </w:r>
      <w:r w:rsidRPr="002F3C0E">
        <w:rPr>
          <w:rFonts w:ascii="Times New Roman" w:hAnsi="Times New Roman"/>
          <w:snapToGrid/>
          <w:sz w:val="22"/>
          <w:szCs w:val="22"/>
          <w:lang w:eastAsia="fr-BE"/>
        </w:rPr>
        <w:t>] </w:t>
      </w:r>
    </w:p>
    <w:p w14:paraId="64AC8481"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Company name</w:t>
      </w:r>
      <w:r w:rsidRPr="002F3C0E">
        <w:rPr>
          <w:rFonts w:ascii="Times New Roman" w:hAnsi="Times New Roman"/>
          <w:snapToGrid/>
          <w:sz w:val="22"/>
          <w:szCs w:val="22"/>
          <w:lang w:eastAsia="fr-BE"/>
        </w:rPr>
        <w:t>] </w:t>
      </w:r>
    </w:p>
    <w:p w14:paraId="49642626"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w:t>
      </w:r>
      <w:r w:rsidRPr="00B5440B">
        <w:rPr>
          <w:rFonts w:ascii="Times New Roman" w:hAnsi="Times New Roman"/>
          <w:snapToGrid/>
          <w:sz w:val="22"/>
          <w:szCs w:val="22"/>
          <w:shd w:val="clear" w:color="auto" w:fill="C0C0C0"/>
          <w:lang w:eastAsia="fr-BE"/>
        </w:rPr>
        <w:t>Full official address</w:t>
      </w:r>
      <w:r w:rsidRPr="002F3C0E">
        <w:rPr>
          <w:rFonts w:ascii="Times New Roman" w:hAnsi="Times New Roman"/>
          <w:snapToGrid/>
          <w:sz w:val="22"/>
          <w:szCs w:val="22"/>
          <w:lang w:eastAsia="fr-BE"/>
        </w:rPr>
        <w:t>] </w:t>
      </w:r>
    </w:p>
    <w:p w14:paraId="22185F1E" w14:textId="77777777" w:rsidR="003F3783" w:rsidRPr="002F3C0E" w:rsidRDefault="003F3783" w:rsidP="003F3783">
      <w:pPr>
        <w:spacing w:before="0" w:after="100" w:afterAutospacing="1"/>
        <w:ind w:left="1194"/>
        <w:textAlignment w:val="baseline"/>
        <w:rPr>
          <w:rFonts w:ascii="Times New Roman" w:hAnsi="Times New Roman"/>
          <w:snapToGrid/>
          <w:sz w:val="22"/>
          <w:szCs w:val="22"/>
          <w:lang w:eastAsia="fr-BE"/>
        </w:rPr>
      </w:pPr>
      <w:r w:rsidRPr="002F3C0E">
        <w:rPr>
          <w:rFonts w:ascii="Times New Roman" w:hAnsi="Times New Roman"/>
          <w:snapToGrid/>
          <w:sz w:val="22"/>
          <w:szCs w:val="22"/>
          <w:lang w:eastAsia="fr-BE"/>
        </w:rPr>
        <w:t>Email: [</w:t>
      </w:r>
      <w:r w:rsidRPr="00B5440B">
        <w:rPr>
          <w:rFonts w:ascii="Times New Roman" w:hAnsi="Times New Roman"/>
          <w:snapToGrid/>
          <w:sz w:val="22"/>
          <w:szCs w:val="22"/>
          <w:shd w:val="clear" w:color="auto" w:fill="C0C0C0"/>
          <w:lang w:eastAsia="fr-BE"/>
        </w:rPr>
        <w:t>complete</w:t>
      </w:r>
      <w:r w:rsidRPr="002F3C0E">
        <w:rPr>
          <w:rFonts w:ascii="Times New Roman" w:hAnsi="Times New Roman"/>
          <w:snapToGrid/>
          <w:sz w:val="22"/>
          <w:szCs w:val="22"/>
          <w:lang w:eastAsia="fr-BE"/>
        </w:rPr>
        <w:t>] </w:t>
      </w:r>
    </w:p>
    <w:p w14:paraId="1314341F" w14:textId="3E442293" w:rsidR="0047783A" w:rsidRPr="003D6B6C" w:rsidRDefault="0047783A" w:rsidP="00B5440B">
      <w:pPr>
        <w:keepNext/>
        <w:spacing w:before="240"/>
        <w:ind w:left="1134" w:hanging="1134"/>
        <w:jc w:val="both"/>
        <w:rPr>
          <w:rFonts w:ascii="Times New Roman" w:hAnsi="Times New Roman"/>
          <w:b/>
          <w:sz w:val="24"/>
          <w:szCs w:val="24"/>
        </w:rPr>
      </w:pPr>
      <w:bookmarkStart w:id="8" w:name="_Toc124934898"/>
      <w:bookmarkEnd w:id="7"/>
      <w:r w:rsidRPr="003D6B6C">
        <w:rPr>
          <w:rFonts w:ascii="Times New Roman" w:hAnsi="Times New Roman"/>
          <w:b/>
          <w:sz w:val="24"/>
          <w:szCs w:val="24"/>
        </w:rPr>
        <w:t>Article 7</w:t>
      </w:r>
      <w:r w:rsidRPr="003D6B6C">
        <w:rPr>
          <w:rFonts w:ascii="Times New Roman" w:hAnsi="Times New Roman"/>
          <w:b/>
          <w:sz w:val="24"/>
          <w:szCs w:val="24"/>
        </w:rPr>
        <w:tab/>
        <w:t>Supply of documents</w:t>
      </w:r>
      <w:bookmarkEnd w:id="8"/>
    </w:p>
    <w:p w14:paraId="37C2E77D" w14:textId="77777777" w:rsidR="00F865B8" w:rsidRDefault="00F865B8" w:rsidP="00F865B8">
      <w:pPr>
        <w:jc w:val="both"/>
        <w:rPr>
          <w:rFonts w:ascii="Times New Roman" w:hAnsi="Times New Roman"/>
          <w:sz w:val="22"/>
          <w:szCs w:val="22"/>
        </w:rPr>
      </w:pPr>
      <w:bookmarkStart w:id="9" w:name="_Toc124934899"/>
      <w:r w:rsidRPr="009B6EF7">
        <w:rPr>
          <w:rFonts w:ascii="Times New Roman" w:hAnsi="Times New Roman"/>
          <w:sz w:val="22"/>
          <w:szCs w:val="22"/>
        </w:rPr>
        <w:t>Apart from the documents specified in the Annex II+III Technical Specifications and Technical Offer, the Contractor</w:t>
      </w:r>
      <w:r>
        <w:rPr>
          <w:rFonts w:ascii="Times New Roman" w:hAnsi="Times New Roman"/>
          <w:sz w:val="22"/>
          <w:szCs w:val="22"/>
        </w:rPr>
        <w:t xml:space="preserve"> shall also submit the documents</w:t>
      </w:r>
      <w:r w:rsidRPr="009B6EF7">
        <w:rPr>
          <w:rFonts w:ascii="Times New Roman" w:hAnsi="Times New Roman"/>
          <w:sz w:val="22"/>
          <w:szCs w:val="22"/>
        </w:rPr>
        <w:t xml:space="preserve"> listed below to the Contracting Authority. The Contractor is responsible for the time</w:t>
      </w:r>
      <w:r>
        <w:rPr>
          <w:rFonts w:ascii="Times New Roman" w:hAnsi="Times New Roman"/>
          <w:sz w:val="22"/>
          <w:szCs w:val="22"/>
        </w:rPr>
        <w:t>ly distribution of the documents</w:t>
      </w:r>
      <w:r w:rsidRPr="009B6EF7">
        <w:rPr>
          <w:rFonts w:ascii="Times New Roman" w:hAnsi="Times New Roman"/>
          <w:sz w:val="22"/>
          <w:szCs w:val="22"/>
        </w:rPr>
        <w:t>, their completeness and language accuracy. All documentation shall be in English and Turkish languages both as hard copy and soft copy.</w:t>
      </w:r>
    </w:p>
    <w:p w14:paraId="35062D7D" w14:textId="77777777" w:rsidR="0047783A" w:rsidRPr="003D6B6C"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8</w:t>
      </w:r>
      <w:r w:rsidRPr="003D6B6C">
        <w:rPr>
          <w:rFonts w:ascii="Times New Roman" w:hAnsi="Times New Roman"/>
          <w:b/>
          <w:sz w:val="24"/>
          <w:szCs w:val="24"/>
        </w:rPr>
        <w:tab/>
        <w:t>Assistance with local regulations</w:t>
      </w:r>
      <w:bookmarkEnd w:id="9"/>
    </w:p>
    <w:p w14:paraId="2FE4D362" w14:textId="77777777" w:rsidR="00367D78" w:rsidRPr="00367D78" w:rsidRDefault="00367D78" w:rsidP="00367D78">
      <w:pPr>
        <w:jc w:val="both"/>
        <w:rPr>
          <w:rFonts w:ascii="Times New Roman" w:hAnsi="Times New Roman"/>
          <w:sz w:val="22"/>
          <w:szCs w:val="22"/>
          <w:lang w:eastAsia="en-GB"/>
        </w:rPr>
      </w:pPr>
      <w:proofErr w:type="spellStart"/>
      <w:proofErr w:type="gramStart"/>
      <w:r w:rsidRPr="00367D78">
        <w:rPr>
          <w:rFonts w:ascii="Times New Roman" w:hAnsi="Times New Roman"/>
          <w:sz w:val="22"/>
          <w:szCs w:val="22"/>
          <w:lang w:val="tr-TR" w:eastAsia="en-GB"/>
        </w:rPr>
        <w:t>The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contract</w:t>
      </w:r>
      <w:proofErr w:type="spellEnd"/>
      <w:r w:rsidRPr="00367D78">
        <w:rPr>
          <w:rFonts w:ascii="Times New Roman" w:hAnsi="Times New Roman"/>
          <w:sz w:val="22"/>
          <w:szCs w:val="22"/>
          <w:lang w:val="tr-TR" w:eastAsia="en-GB"/>
        </w:rPr>
        <w:t xml:space="preserve"> is, as a </w:t>
      </w:r>
      <w:proofErr w:type="spellStart"/>
      <w:r w:rsidRPr="00367D78">
        <w:rPr>
          <w:rFonts w:ascii="Times New Roman" w:hAnsi="Times New Roman"/>
          <w:sz w:val="22"/>
          <w:szCs w:val="22"/>
          <w:lang w:val="tr-TR" w:eastAsia="en-GB"/>
        </w:rPr>
        <w:t>rule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exempt</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from</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all</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taxes</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and</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duties</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including</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value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added</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tax</w:t>
      </w:r>
      <w:proofErr w:type="spellEnd"/>
      <w:r w:rsidRPr="00367D78">
        <w:rPr>
          <w:rFonts w:ascii="Times New Roman" w:hAnsi="Times New Roman"/>
          <w:sz w:val="22"/>
          <w:szCs w:val="22"/>
          <w:lang w:val="tr-TR" w:eastAsia="en-GB"/>
        </w:rPr>
        <w:t xml:space="preserve"> (VAT) </w:t>
      </w:r>
      <w:proofErr w:type="spellStart"/>
      <w:r w:rsidRPr="00367D78">
        <w:rPr>
          <w:rFonts w:ascii="Times New Roman" w:hAnsi="Times New Roman"/>
          <w:sz w:val="22"/>
          <w:szCs w:val="22"/>
          <w:lang w:val="tr-TR" w:eastAsia="en-GB"/>
        </w:rPr>
        <w:t>and</w:t>
      </w:r>
      <w:proofErr w:type="spellEnd"/>
      <w:r w:rsidRPr="00367D78">
        <w:rPr>
          <w:rFonts w:ascii="Times New Roman" w:hAnsi="Times New Roman"/>
          <w:sz w:val="22"/>
          <w:szCs w:val="22"/>
          <w:lang w:val="tr-TR" w:eastAsia="en-GB"/>
        </w:rPr>
        <w:t xml:space="preserve"> Special </w:t>
      </w:r>
      <w:proofErr w:type="spellStart"/>
      <w:r w:rsidRPr="00367D78">
        <w:rPr>
          <w:rFonts w:ascii="Times New Roman" w:hAnsi="Times New Roman"/>
          <w:sz w:val="22"/>
          <w:szCs w:val="22"/>
          <w:lang w:val="tr-TR" w:eastAsia="en-GB"/>
        </w:rPr>
        <w:t>Consumption</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Tax</w:t>
      </w:r>
      <w:proofErr w:type="spellEnd"/>
      <w:r w:rsidRPr="00367D78">
        <w:rPr>
          <w:rFonts w:ascii="Times New Roman" w:hAnsi="Times New Roman"/>
          <w:sz w:val="22"/>
          <w:szCs w:val="22"/>
          <w:lang w:val="tr-TR" w:eastAsia="en-GB"/>
        </w:rPr>
        <w:t xml:space="preserve"> (SCT), </w:t>
      </w:r>
      <w:proofErr w:type="spellStart"/>
      <w:r w:rsidRPr="00367D78">
        <w:rPr>
          <w:rFonts w:ascii="Times New Roman" w:hAnsi="Times New Roman"/>
          <w:sz w:val="22"/>
          <w:szCs w:val="22"/>
          <w:lang w:val="tr-TR" w:eastAsia="en-GB"/>
        </w:rPr>
        <w:t>Motorvehicle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tax</w:t>
      </w:r>
      <w:proofErr w:type="spellEnd"/>
      <w:r w:rsidRPr="00367D78">
        <w:rPr>
          <w:rFonts w:ascii="Times New Roman" w:hAnsi="Times New Roman"/>
          <w:sz w:val="22"/>
          <w:szCs w:val="22"/>
          <w:lang w:val="tr-TR" w:eastAsia="en-GB"/>
        </w:rPr>
        <w:t xml:space="preserve">, Special </w:t>
      </w:r>
      <w:proofErr w:type="spellStart"/>
      <w:r w:rsidRPr="00367D78">
        <w:rPr>
          <w:rFonts w:ascii="Times New Roman" w:hAnsi="Times New Roman"/>
          <w:sz w:val="22"/>
          <w:szCs w:val="22"/>
          <w:lang w:val="tr-TR" w:eastAsia="en-GB"/>
        </w:rPr>
        <w:t>communication</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tax</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and</w:t>
      </w:r>
      <w:proofErr w:type="spellEnd"/>
      <w:r w:rsidRPr="00367D78">
        <w:rPr>
          <w:rFonts w:ascii="Times New Roman" w:hAnsi="Times New Roman"/>
          <w:sz w:val="22"/>
          <w:szCs w:val="22"/>
          <w:lang w:val="tr-TR" w:eastAsia="en-GB"/>
        </w:rPr>
        <w:t>/</w:t>
      </w:r>
      <w:proofErr w:type="spellStart"/>
      <w:r w:rsidRPr="00367D78">
        <w:rPr>
          <w:rFonts w:ascii="Times New Roman" w:hAnsi="Times New Roman"/>
          <w:sz w:val="22"/>
          <w:szCs w:val="22"/>
          <w:lang w:val="tr-TR" w:eastAsia="en-GB"/>
        </w:rPr>
        <w:t>or</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taxes</w:t>
      </w:r>
      <w:proofErr w:type="spellEnd"/>
      <w:r w:rsidRPr="00367D78">
        <w:rPr>
          <w:rFonts w:ascii="Times New Roman" w:hAnsi="Times New Roman"/>
          <w:sz w:val="22"/>
          <w:szCs w:val="22"/>
          <w:lang w:val="tr-TR" w:eastAsia="en-GB"/>
        </w:rPr>
        <w:t xml:space="preserve"> of </w:t>
      </w:r>
      <w:proofErr w:type="spellStart"/>
      <w:r w:rsidRPr="00367D78">
        <w:rPr>
          <w:rFonts w:ascii="Times New Roman" w:hAnsi="Times New Roman"/>
          <w:sz w:val="22"/>
          <w:szCs w:val="22"/>
          <w:lang w:val="tr-TR" w:eastAsia="en-GB"/>
        </w:rPr>
        <w:t>equivalent</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effect</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stamp</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or</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registration</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duties</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special</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charges</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or</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any</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other</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charge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having</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equivalent</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effect</w:t>
      </w:r>
      <w:proofErr w:type="spellEnd"/>
      <w:r w:rsidRPr="00367D78">
        <w:rPr>
          <w:rFonts w:ascii="Times New Roman" w:hAnsi="Times New Roman"/>
          <w:sz w:val="22"/>
          <w:szCs w:val="22"/>
          <w:lang w:val="tr-TR" w:eastAsia="en-GB"/>
        </w:rPr>
        <w:t xml:space="preserve">, of </w:t>
      </w:r>
      <w:proofErr w:type="spellStart"/>
      <w:r w:rsidRPr="00367D78">
        <w:rPr>
          <w:rFonts w:ascii="Times New Roman" w:hAnsi="Times New Roman"/>
          <w:sz w:val="22"/>
          <w:szCs w:val="22"/>
          <w:lang w:val="tr-TR" w:eastAsia="en-GB"/>
        </w:rPr>
        <w:t>Article</w:t>
      </w:r>
      <w:proofErr w:type="spellEnd"/>
      <w:r w:rsidRPr="00367D78">
        <w:rPr>
          <w:rFonts w:ascii="Times New Roman" w:hAnsi="Times New Roman"/>
          <w:sz w:val="22"/>
          <w:szCs w:val="22"/>
          <w:lang w:val="tr-TR" w:eastAsia="en-GB"/>
        </w:rPr>
        <w:t xml:space="preserve"> 27 </w:t>
      </w:r>
      <w:proofErr w:type="spellStart"/>
      <w:r w:rsidRPr="00367D78">
        <w:rPr>
          <w:rFonts w:ascii="Times New Roman" w:hAnsi="Times New Roman"/>
          <w:sz w:val="22"/>
          <w:szCs w:val="22"/>
          <w:lang w:val="tr-TR" w:eastAsia="en-GB"/>
        </w:rPr>
        <w:t>and</w:t>
      </w:r>
      <w:proofErr w:type="spellEnd"/>
      <w:r w:rsidRPr="00367D78">
        <w:rPr>
          <w:rFonts w:ascii="Times New Roman" w:hAnsi="Times New Roman"/>
          <w:sz w:val="22"/>
          <w:szCs w:val="22"/>
          <w:lang w:val="tr-TR" w:eastAsia="en-GB"/>
        </w:rPr>
        <w:t xml:space="preserve"> 28 of </w:t>
      </w:r>
      <w:proofErr w:type="spellStart"/>
      <w:r w:rsidRPr="00367D78">
        <w:rPr>
          <w:rFonts w:ascii="Times New Roman" w:hAnsi="Times New Roman"/>
          <w:sz w:val="22"/>
          <w:szCs w:val="22"/>
          <w:lang w:val="tr-TR" w:eastAsia="en-GB"/>
        </w:rPr>
        <w:t>the</w:t>
      </w:r>
      <w:proofErr w:type="spellEnd"/>
      <w:r w:rsidRPr="00367D78">
        <w:rPr>
          <w:rFonts w:ascii="Times New Roman" w:hAnsi="Times New Roman"/>
          <w:sz w:val="22"/>
          <w:szCs w:val="22"/>
          <w:lang w:val="tr-TR" w:eastAsia="en-GB"/>
        </w:rPr>
        <w:t xml:space="preserve"> IPA III Financial Framework </w:t>
      </w:r>
      <w:proofErr w:type="spellStart"/>
      <w:r w:rsidRPr="00367D78">
        <w:rPr>
          <w:rFonts w:ascii="Times New Roman" w:hAnsi="Times New Roman"/>
          <w:sz w:val="22"/>
          <w:szCs w:val="22"/>
          <w:lang w:val="tr-TR" w:eastAsia="en-GB"/>
        </w:rPr>
        <w:t>Partnership</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Agreement</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signed</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between</w:t>
      </w:r>
      <w:proofErr w:type="spellEnd"/>
      <w:r w:rsidRPr="00367D78">
        <w:rPr>
          <w:rFonts w:ascii="Times New Roman" w:hAnsi="Times New Roman"/>
          <w:sz w:val="22"/>
          <w:szCs w:val="22"/>
          <w:lang w:val="tr-TR" w:eastAsia="en-GB"/>
        </w:rPr>
        <w:t xml:space="preserve"> Türkiye </w:t>
      </w:r>
      <w:proofErr w:type="spellStart"/>
      <w:r w:rsidRPr="00367D78">
        <w:rPr>
          <w:rFonts w:ascii="Times New Roman" w:hAnsi="Times New Roman"/>
          <w:sz w:val="22"/>
          <w:szCs w:val="22"/>
          <w:lang w:val="tr-TR" w:eastAsia="en-GB"/>
        </w:rPr>
        <w:t>and</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the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European</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Union</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Commission</w:t>
      </w:r>
      <w:proofErr w:type="spellEnd"/>
      <w:r w:rsidRPr="00367D78">
        <w:rPr>
          <w:rFonts w:ascii="Times New Roman" w:hAnsi="Times New Roman"/>
          <w:sz w:val="22"/>
          <w:szCs w:val="22"/>
          <w:lang w:val="tr-TR" w:eastAsia="en-GB"/>
        </w:rPr>
        <w:t xml:space="preserve"> on 17.10.2022, </w:t>
      </w:r>
      <w:proofErr w:type="spellStart"/>
      <w:r w:rsidRPr="00367D78">
        <w:rPr>
          <w:rFonts w:ascii="Times New Roman" w:hAnsi="Times New Roman"/>
          <w:sz w:val="22"/>
          <w:szCs w:val="22"/>
          <w:lang w:val="tr-TR" w:eastAsia="en-GB"/>
        </w:rPr>
        <w:t>and</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adopted</w:t>
      </w:r>
      <w:proofErr w:type="spellEnd"/>
      <w:r w:rsidRPr="00367D78">
        <w:rPr>
          <w:rFonts w:ascii="Times New Roman" w:hAnsi="Times New Roman"/>
          <w:sz w:val="22"/>
          <w:szCs w:val="22"/>
          <w:lang w:val="tr-TR" w:eastAsia="en-GB"/>
        </w:rPr>
        <w:t xml:space="preserve"> as a </w:t>
      </w:r>
      <w:proofErr w:type="spellStart"/>
      <w:r w:rsidRPr="00367D78">
        <w:rPr>
          <w:rFonts w:ascii="Times New Roman" w:hAnsi="Times New Roman"/>
          <w:sz w:val="22"/>
          <w:szCs w:val="22"/>
          <w:lang w:val="tr-TR" w:eastAsia="en-GB"/>
        </w:rPr>
        <w:t>law</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by</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Turkish</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Parliament</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no</w:t>
      </w:r>
      <w:proofErr w:type="spellEnd"/>
      <w:r w:rsidRPr="00367D78">
        <w:rPr>
          <w:rFonts w:ascii="Times New Roman" w:hAnsi="Times New Roman"/>
          <w:sz w:val="22"/>
          <w:szCs w:val="22"/>
          <w:lang w:val="tr-TR" w:eastAsia="en-GB"/>
        </w:rPr>
        <w:t xml:space="preserve">: 7424) on 01 </w:t>
      </w:r>
      <w:proofErr w:type="spellStart"/>
      <w:r w:rsidRPr="00367D78">
        <w:rPr>
          <w:rFonts w:ascii="Times New Roman" w:hAnsi="Times New Roman"/>
          <w:sz w:val="22"/>
          <w:szCs w:val="22"/>
          <w:lang w:val="tr-TR" w:eastAsia="en-GB"/>
        </w:rPr>
        <w:t>December</w:t>
      </w:r>
      <w:proofErr w:type="spellEnd"/>
      <w:r w:rsidRPr="00367D78">
        <w:rPr>
          <w:rFonts w:ascii="Times New Roman" w:hAnsi="Times New Roman"/>
          <w:sz w:val="22"/>
          <w:szCs w:val="22"/>
          <w:lang w:val="tr-TR" w:eastAsia="en-GB"/>
        </w:rPr>
        <w:t xml:space="preserve"> 2022 </w:t>
      </w:r>
      <w:proofErr w:type="spellStart"/>
      <w:r w:rsidRPr="00367D78">
        <w:rPr>
          <w:rFonts w:ascii="Times New Roman" w:hAnsi="Times New Roman"/>
          <w:sz w:val="22"/>
          <w:szCs w:val="22"/>
          <w:lang w:val="tr-TR" w:eastAsia="en-GB"/>
        </w:rPr>
        <w:t>and</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which</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was</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published</w:t>
      </w:r>
      <w:proofErr w:type="spellEnd"/>
      <w:r w:rsidRPr="00367D78">
        <w:rPr>
          <w:rFonts w:ascii="Times New Roman" w:hAnsi="Times New Roman"/>
          <w:sz w:val="22"/>
          <w:szCs w:val="22"/>
          <w:lang w:val="tr-TR" w:eastAsia="en-GB"/>
        </w:rPr>
        <w:t xml:space="preserve"> in </w:t>
      </w:r>
      <w:proofErr w:type="spellStart"/>
      <w:r w:rsidRPr="00367D78">
        <w:rPr>
          <w:rFonts w:ascii="Times New Roman" w:hAnsi="Times New Roman"/>
          <w:sz w:val="22"/>
          <w:szCs w:val="22"/>
          <w:lang w:val="tr-TR" w:eastAsia="en-GB"/>
        </w:rPr>
        <w:t>the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Turkish</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Official</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Gazette</w:t>
      </w:r>
      <w:proofErr w:type="spellEnd"/>
      <w:r w:rsidRPr="00367D78">
        <w:rPr>
          <w:rFonts w:ascii="Times New Roman" w:hAnsi="Times New Roman"/>
          <w:sz w:val="22"/>
          <w:szCs w:val="22"/>
          <w:lang w:val="tr-TR" w:eastAsia="en-GB"/>
        </w:rPr>
        <w:t xml:space="preserve"> on 08 </w:t>
      </w:r>
      <w:proofErr w:type="spellStart"/>
      <w:r w:rsidRPr="00367D78">
        <w:rPr>
          <w:rFonts w:ascii="Times New Roman" w:hAnsi="Times New Roman"/>
          <w:sz w:val="22"/>
          <w:szCs w:val="22"/>
          <w:lang w:val="tr-TR" w:eastAsia="en-GB"/>
        </w:rPr>
        <w:t>December</w:t>
      </w:r>
      <w:proofErr w:type="spellEnd"/>
      <w:r w:rsidRPr="00367D78">
        <w:rPr>
          <w:rFonts w:ascii="Times New Roman" w:hAnsi="Times New Roman"/>
          <w:sz w:val="22"/>
          <w:szCs w:val="22"/>
          <w:lang w:val="tr-TR" w:eastAsia="en-GB"/>
        </w:rPr>
        <w:t xml:space="preserve"> 2022, no:32037. </w:t>
      </w:r>
      <w:proofErr w:type="spellStart"/>
      <w:r w:rsidRPr="00367D78">
        <w:rPr>
          <w:rFonts w:ascii="Times New Roman" w:hAnsi="Times New Roman"/>
          <w:sz w:val="22"/>
          <w:szCs w:val="22"/>
          <w:lang w:val="tr-TR" w:eastAsia="en-GB"/>
        </w:rPr>
        <w:t>Presidential</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Decree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no</w:t>
      </w:r>
      <w:proofErr w:type="spellEnd"/>
      <w:r w:rsidRPr="00367D78">
        <w:rPr>
          <w:rFonts w:ascii="Times New Roman" w:hAnsi="Times New Roman"/>
          <w:sz w:val="22"/>
          <w:szCs w:val="22"/>
          <w:lang w:val="tr-TR" w:eastAsia="en-GB"/>
        </w:rPr>
        <w:t xml:space="preserve"> 2022/7424 </w:t>
      </w:r>
      <w:proofErr w:type="spellStart"/>
      <w:r w:rsidRPr="00367D78">
        <w:rPr>
          <w:rFonts w:ascii="Times New Roman" w:hAnsi="Times New Roman"/>
          <w:sz w:val="22"/>
          <w:szCs w:val="22"/>
          <w:lang w:val="tr-TR" w:eastAsia="en-GB"/>
        </w:rPr>
        <w:t>that</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was</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published</w:t>
      </w:r>
      <w:proofErr w:type="spellEnd"/>
      <w:r w:rsidRPr="00367D78">
        <w:rPr>
          <w:rFonts w:ascii="Times New Roman" w:hAnsi="Times New Roman"/>
          <w:sz w:val="22"/>
          <w:szCs w:val="22"/>
          <w:lang w:val="tr-TR" w:eastAsia="en-GB"/>
        </w:rPr>
        <w:t xml:space="preserve"> in </w:t>
      </w:r>
      <w:proofErr w:type="spellStart"/>
      <w:r w:rsidRPr="00367D78">
        <w:rPr>
          <w:rFonts w:ascii="Times New Roman" w:hAnsi="Times New Roman"/>
          <w:sz w:val="22"/>
          <w:szCs w:val="22"/>
          <w:lang w:val="tr-TR" w:eastAsia="en-GB"/>
        </w:rPr>
        <w:t>Official</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Gazette</w:t>
      </w:r>
      <w:proofErr w:type="spellEnd"/>
      <w:r w:rsidRPr="00367D78">
        <w:rPr>
          <w:rFonts w:ascii="Times New Roman" w:hAnsi="Times New Roman"/>
          <w:sz w:val="22"/>
          <w:szCs w:val="22"/>
          <w:lang w:val="tr-TR" w:eastAsia="en-GB"/>
        </w:rPr>
        <w:t xml:space="preserve"> </w:t>
      </w:r>
      <w:proofErr w:type="spellStart"/>
      <w:r w:rsidRPr="00367D78">
        <w:rPr>
          <w:rFonts w:ascii="Times New Roman" w:hAnsi="Times New Roman"/>
          <w:sz w:val="22"/>
          <w:szCs w:val="22"/>
          <w:lang w:val="tr-TR" w:eastAsia="en-GB"/>
        </w:rPr>
        <w:t>no</w:t>
      </w:r>
      <w:proofErr w:type="spellEnd"/>
      <w:r w:rsidRPr="00367D78">
        <w:rPr>
          <w:rFonts w:ascii="Times New Roman" w:hAnsi="Times New Roman"/>
          <w:sz w:val="22"/>
          <w:szCs w:val="22"/>
          <w:lang w:val="tr-TR" w:eastAsia="en-GB"/>
        </w:rPr>
        <w:t xml:space="preserve">: 32042, </w:t>
      </w:r>
      <w:proofErr w:type="spellStart"/>
      <w:r w:rsidRPr="00367D78">
        <w:rPr>
          <w:rFonts w:ascii="Times New Roman" w:hAnsi="Times New Roman"/>
          <w:sz w:val="22"/>
          <w:szCs w:val="22"/>
          <w:lang w:val="tr-TR" w:eastAsia="en-GB"/>
        </w:rPr>
        <w:lastRenderedPageBreak/>
        <w:t>dated</w:t>
      </w:r>
      <w:proofErr w:type="spellEnd"/>
      <w:r w:rsidRPr="00367D78">
        <w:rPr>
          <w:rFonts w:ascii="Times New Roman" w:hAnsi="Times New Roman"/>
          <w:sz w:val="22"/>
          <w:szCs w:val="22"/>
          <w:lang w:val="tr-TR" w:eastAsia="en-GB"/>
        </w:rPr>
        <w:t xml:space="preserve"> 13 </w:t>
      </w:r>
      <w:proofErr w:type="spellStart"/>
      <w:r w:rsidRPr="00367D78">
        <w:rPr>
          <w:rFonts w:ascii="Times New Roman" w:hAnsi="Times New Roman"/>
          <w:sz w:val="22"/>
          <w:szCs w:val="22"/>
          <w:lang w:val="tr-TR" w:eastAsia="en-GB"/>
        </w:rPr>
        <w:t>December</w:t>
      </w:r>
      <w:proofErr w:type="spellEnd"/>
      <w:r w:rsidRPr="00367D78">
        <w:rPr>
          <w:rFonts w:ascii="Times New Roman" w:hAnsi="Times New Roman"/>
          <w:sz w:val="22"/>
          <w:szCs w:val="22"/>
          <w:lang w:val="tr-TR" w:eastAsia="en-GB"/>
        </w:rPr>
        <w:t xml:space="preserve"> 2022. </w:t>
      </w:r>
      <w:r w:rsidRPr="00367D78">
        <w:rPr>
          <w:rFonts w:ascii="Times New Roman" w:hAnsi="Times New Roman"/>
          <w:sz w:val="22"/>
          <w:szCs w:val="22"/>
          <w:lang w:eastAsia="en-GB"/>
        </w:rPr>
        <w:t>Please refer to the articles 27&amp;28 of the Framework Agreement and the Communiqués issued by:</w:t>
      </w:r>
      <w:proofErr w:type="gramEnd"/>
    </w:p>
    <w:p w14:paraId="788E23A0" w14:textId="77777777" w:rsidR="00367D78" w:rsidRPr="00367D78" w:rsidRDefault="00367D78" w:rsidP="00367D78">
      <w:pPr>
        <w:numPr>
          <w:ilvl w:val="0"/>
          <w:numId w:val="28"/>
        </w:numPr>
        <w:jc w:val="both"/>
        <w:rPr>
          <w:rFonts w:ascii="Times New Roman" w:hAnsi="Times New Roman"/>
          <w:sz w:val="22"/>
          <w:szCs w:val="22"/>
          <w:lang w:eastAsia="en-GB"/>
        </w:rPr>
      </w:pPr>
      <w:r w:rsidRPr="00367D78">
        <w:rPr>
          <w:rFonts w:ascii="Times New Roman" w:hAnsi="Times New Roman"/>
          <w:sz w:val="22"/>
          <w:szCs w:val="22"/>
          <w:lang w:eastAsia="en-GB"/>
        </w:rPr>
        <w:t xml:space="preserve">The Ministry of Finance (the </w:t>
      </w:r>
      <w:proofErr w:type="spellStart"/>
      <w:r w:rsidRPr="00367D78">
        <w:rPr>
          <w:rFonts w:ascii="Times New Roman" w:hAnsi="Times New Roman"/>
          <w:sz w:val="22"/>
          <w:szCs w:val="22"/>
          <w:lang w:eastAsia="en-GB"/>
        </w:rPr>
        <w:t>MoF</w:t>
      </w:r>
      <w:proofErr w:type="spellEnd"/>
      <w:r w:rsidRPr="00367D78">
        <w:rPr>
          <w:rFonts w:ascii="Times New Roman" w:hAnsi="Times New Roman"/>
          <w:sz w:val="22"/>
          <w:szCs w:val="22"/>
          <w:lang w:eastAsia="en-GB"/>
        </w:rPr>
        <w:t xml:space="preserve">) thereto for further information, especially for exemption scope and implementation procedure, which are available at the </w:t>
      </w:r>
      <w:proofErr w:type="spellStart"/>
      <w:r w:rsidRPr="00367D78">
        <w:rPr>
          <w:rFonts w:ascii="Times New Roman" w:hAnsi="Times New Roman"/>
          <w:sz w:val="22"/>
          <w:szCs w:val="22"/>
          <w:lang w:eastAsia="en-GB"/>
        </w:rPr>
        <w:t>MoF’s</w:t>
      </w:r>
      <w:proofErr w:type="spellEnd"/>
      <w:r w:rsidRPr="00367D78">
        <w:rPr>
          <w:rFonts w:ascii="Times New Roman" w:hAnsi="Times New Roman"/>
          <w:sz w:val="22"/>
          <w:szCs w:val="22"/>
          <w:lang w:eastAsia="en-GB"/>
        </w:rPr>
        <w:t xml:space="preserve"> website at: </w:t>
      </w:r>
      <w:hyperlink r:id="rId10">
        <w:r w:rsidRPr="00367D78">
          <w:rPr>
            <w:rStyle w:val="Kpr"/>
            <w:rFonts w:ascii="Times New Roman" w:hAnsi="Times New Roman"/>
            <w:sz w:val="22"/>
            <w:szCs w:val="22"/>
            <w:lang w:eastAsia="en-GB"/>
          </w:rPr>
          <w:t>http://www.gib.gov.tr/uluslararasi_mevzuat,</w:t>
        </w:r>
      </w:hyperlink>
    </w:p>
    <w:p w14:paraId="7FF9A6D5" w14:textId="77777777" w:rsidR="00367D78" w:rsidRPr="00367D78" w:rsidRDefault="00367D78" w:rsidP="00367D78">
      <w:pPr>
        <w:numPr>
          <w:ilvl w:val="0"/>
          <w:numId w:val="28"/>
        </w:numPr>
        <w:jc w:val="both"/>
        <w:rPr>
          <w:rFonts w:ascii="Times New Roman" w:hAnsi="Times New Roman"/>
          <w:sz w:val="22"/>
          <w:szCs w:val="22"/>
          <w:lang w:eastAsia="en-GB"/>
        </w:rPr>
      </w:pPr>
      <w:r w:rsidRPr="00367D78">
        <w:rPr>
          <w:rFonts w:ascii="Times New Roman" w:hAnsi="Times New Roman"/>
          <w:sz w:val="22"/>
          <w:szCs w:val="22"/>
          <w:lang w:eastAsia="en-GB"/>
        </w:rPr>
        <w:t>The Ministry of Trade (</w:t>
      </w:r>
      <w:proofErr w:type="spellStart"/>
      <w:r w:rsidRPr="00367D78">
        <w:rPr>
          <w:rFonts w:ascii="Times New Roman" w:hAnsi="Times New Roman"/>
          <w:sz w:val="22"/>
          <w:szCs w:val="22"/>
          <w:lang w:eastAsia="en-GB"/>
        </w:rPr>
        <w:t>MoT</w:t>
      </w:r>
      <w:proofErr w:type="spellEnd"/>
      <w:r w:rsidRPr="00367D78">
        <w:rPr>
          <w:rFonts w:ascii="Times New Roman" w:hAnsi="Times New Roman"/>
          <w:sz w:val="22"/>
          <w:szCs w:val="22"/>
          <w:lang w:eastAsia="en-GB"/>
        </w:rPr>
        <w:t xml:space="preserve">) thereto for further information, especially for </w:t>
      </w:r>
      <w:proofErr w:type="spellStart"/>
      <w:r w:rsidRPr="00367D78">
        <w:rPr>
          <w:rFonts w:ascii="Times New Roman" w:hAnsi="Times New Roman"/>
          <w:sz w:val="22"/>
          <w:szCs w:val="22"/>
          <w:lang w:eastAsia="en-GB"/>
        </w:rPr>
        <w:t>faclities</w:t>
      </w:r>
      <w:proofErr w:type="spellEnd"/>
      <w:r w:rsidRPr="00367D78">
        <w:rPr>
          <w:rFonts w:ascii="Times New Roman" w:hAnsi="Times New Roman"/>
          <w:sz w:val="22"/>
          <w:szCs w:val="22"/>
          <w:lang w:eastAsia="en-GB"/>
        </w:rPr>
        <w:t xml:space="preserve"> </w:t>
      </w:r>
      <w:proofErr w:type="spellStart"/>
      <w:r w:rsidRPr="00367D78">
        <w:rPr>
          <w:rFonts w:ascii="Times New Roman" w:hAnsi="Times New Roman"/>
          <w:sz w:val="22"/>
          <w:szCs w:val="22"/>
          <w:lang w:eastAsia="en-GB"/>
        </w:rPr>
        <w:t>extented</w:t>
      </w:r>
      <w:proofErr w:type="spellEnd"/>
      <w:r w:rsidRPr="00367D78">
        <w:rPr>
          <w:rFonts w:ascii="Times New Roman" w:hAnsi="Times New Roman"/>
          <w:sz w:val="22"/>
          <w:szCs w:val="22"/>
          <w:lang w:eastAsia="en-GB"/>
        </w:rPr>
        <w:t xml:space="preserve"> for customs clearance, which is available: </w:t>
      </w:r>
      <w:hyperlink r:id="rId11">
        <w:r w:rsidRPr="00367D78">
          <w:rPr>
            <w:rStyle w:val="Kpr"/>
            <w:rFonts w:ascii="Times New Roman" w:hAnsi="Times New Roman"/>
            <w:sz w:val="22"/>
            <w:szCs w:val="22"/>
            <w:lang w:eastAsia="en-GB"/>
          </w:rPr>
          <w:t>http://www.resmigazete.gov.tr/eskiler/2017/10/20171007-9.htm</w:t>
        </w:r>
      </w:hyperlink>
      <w:r w:rsidRPr="00367D78">
        <w:rPr>
          <w:rFonts w:ascii="Times New Roman" w:hAnsi="Times New Roman"/>
          <w:sz w:val="22"/>
          <w:szCs w:val="22"/>
          <w:lang w:eastAsia="en-GB"/>
        </w:rPr>
        <w:t xml:space="preserve"> - AB </w:t>
      </w:r>
      <w:proofErr w:type="spellStart"/>
      <w:r w:rsidRPr="00367D78">
        <w:rPr>
          <w:rFonts w:ascii="Times New Roman" w:hAnsi="Times New Roman"/>
          <w:sz w:val="22"/>
          <w:szCs w:val="22"/>
          <w:lang w:eastAsia="en-GB"/>
        </w:rPr>
        <w:t>Katılım</w:t>
      </w:r>
      <w:proofErr w:type="spellEnd"/>
      <w:r w:rsidRPr="00367D78">
        <w:rPr>
          <w:rFonts w:ascii="Times New Roman" w:hAnsi="Times New Roman"/>
          <w:sz w:val="22"/>
          <w:szCs w:val="22"/>
          <w:lang w:eastAsia="en-GB"/>
        </w:rPr>
        <w:t xml:space="preserve"> </w:t>
      </w:r>
      <w:proofErr w:type="spellStart"/>
      <w:r w:rsidRPr="00367D78">
        <w:rPr>
          <w:rFonts w:ascii="Times New Roman" w:hAnsi="Times New Roman"/>
          <w:sz w:val="22"/>
          <w:szCs w:val="22"/>
          <w:lang w:eastAsia="en-GB"/>
        </w:rPr>
        <w:t>Öncesi</w:t>
      </w:r>
      <w:proofErr w:type="spellEnd"/>
      <w:r w:rsidRPr="00367D78">
        <w:rPr>
          <w:rFonts w:ascii="Times New Roman" w:hAnsi="Times New Roman"/>
          <w:sz w:val="22"/>
          <w:szCs w:val="22"/>
          <w:lang w:eastAsia="en-GB"/>
        </w:rPr>
        <w:t xml:space="preserve"> </w:t>
      </w:r>
      <w:proofErr w:type="spellStart"/>
      <w:r w:rsidRPr="00367D78">
        <w:rPr>
          <w:rFonts w:ascii="Times New Roman" w:hAnsi="Times New Roman"/>
          <w:sz w:val="22"/>
          <w:szCs w:val="22"/>
          <w:lang w:eastAsia="en-GB"/>
        </w:rPr>
        <w:t>Yardım</w:t>
      </w:r>
      <w:proofErr w:type="spellEnd"/>
      <w:r w:rsidRPr="00367D78">
        <w:rPr>
          <w:rFonts w:ascii="Times New Roman" w:hAnsi="Times New Roman"/>
          <w:sz w:val="22"/>
          <w:szCs w:val="22"/>
          <w:lang w:eastAsia="en-GB"/>
        </w:rPr>
        <w:t xml:space="preserve"> </w:t>
      </w:r>
      <w:proofErr w:type="spellStart"/>
      <w:r w:rsidRPr="00367D78">
        <w:rPr>
          <w:rFonts w:ascii="Times New Roman" w:hAnsi="Times New Roman"/>
          <w:sz w:val="22"/>
          <w:szCs w:val="22"/>
          <w:lang w:eastAsia="en-GB"/>
        </w:rPr>
        <w:t>Aracı</w:t>
      </w:r>
      <w:proofErr w:type="spellEnd"/>
      <w:r w:rsidRPr="00367D78">
        <w:rPr>
          <w:rFonts w:ascii="Times New Roman" w:hAnsi="Times New Roman"/>
          <w:sz w:val="22"/>
          <w:szCs w:val="22"/>
          <w:lang w:eastAsia="en-GB"/>
        </w:rPr>
        <w:t xml:space="preserve">, published in the </w:t>
      </w:r>
      <w:proofErr w:type="spellStart"/>
      <w:r w:rsidRPr="00367D78">
        <w:rPr>
          <w:rFonts w:ascii="Times New Roman" w:hAnsi="Times New Roman"/>
          <w:sz w:val="22"/>
          <w:szCs w:val="22"/>
          <w:lang w:eastAsia="en-GB"/>
        </w:rPr>
        <w:t>Offcial</w:t>
      </w:r>
      <w:proofErr w:type="spellEnd"/>
      <w:r w:rsidRPr="00367D78">
        <w:rPr>
          <w:rFonts w:ascii="Times New Roman" w:hAnsi="Times New Roman"/>
          <w:sz w:val="22"/>
          <w:szCs w:val="22"/>
          <w:lang w:eastAsia="en-GB"/>
        </w:rPr>
        <w:t xml:space="preserve"> </w:t>
      </w:r>
      <w:proofErr w:type="spellStart"/>
      <w:r w:rsidRPr="00367D78">
        <w:rPr>
          <w:rFonts w:ascii="Times New Roman" w:hAnsi="Times New Roman"/>
          <w:sz w:val="22"/>
          <w:szCs w:val="22"/>
          <w:lang w:eastAsia="en-GB"/>
        </w:rPr>
        <w:t>Gazzette</w:t>
      </w:r>
      <w:proofErr w:type="spellEnd"/>
      <w:r w:rsidRPr="00367D78">
        <w:rPr>
          <w:rFonts w:ascii="Times New Roman" w:hAnsi="Times New Roman"/>
          <w:sz w:val="22"/>
          <w:szCs w:val="22"/>
          <w:lang w:eastAsia="en-GB"/>
        </w:rPr>
        <w:t xml:space="preserve"> of </w:t>
      </w:r>
      <w:proofErr w:type="spellStart"/>
      <w:r w:rsidRPr="00367D78">
        <w:rPr>
          <w:rFonts w:ascii="Times New Roman" w:hAnsi="Times New Roman"/>
          <w:sz w:val="22"/>
          <w:szCs w:val="22"/>
          <w:lang w:eastAsia="en-GB"/>
        </w:rPr>
        <w:t>Türkiye</w:t>
      </w:r>
      <w:proofErr w:type="spellEnd"/>
      <w:r w:rsidRPr="00367D78">
        <w:rPr>
          <w:rFonts w:ascii="Times New Roman" w:hAnsi="Times New Roman"/>
          <w:sz w:val="22"/>
          <w:szCs w:val="22"/>
          <w:lang w:eastAsia="en-GB"/>
        </w:rPr>
        <w:t>, No: 30203, on 07.10.2017</w:t>
      </w:r>
    </w:p>
    <w:p w14:paraId="79B4B746" w14:textId="77777777" w:rsidR="00F865B8" w:rsidRDefault="00F865B8" w:rsidP="00F865B8">
      <w:pPr>
        <w:jc w:val="both"/>
        <w:rPr>
          <w:rFonts w:ascii="Times New Roman" w:hAnsi="Times New Roman"/>
          <w:sz w:val="22"/>
          <w:szCs w:val="22"/>
        </w:rPr>
      </w:pPr>
      <w:r w:rsidRPr="009B6EF7">
        <w:rPr>
          <w:rFonts w:ascii="Times New Roman" w:hAnsi="Times New Roman"/>
          <w:sz w:val="22"/>
          <w:szCs w:val="22"/>
        </w:rPr>
        <w:t xml:space="preserve">The Contractor shall, within two weeks from the </w:t>
      </w:r>
      <w:r>
        <w:rPr>
          <w:rFonts w:ascii="Times New Roman" w:hAnsi="Times New Roman"/>
          <w:sz w:val="22"/>
          <w:szCs w:val="22"/>
        </w:rPr>
        <w:t>commencement</w:t>
      </w:r>
      <w:r w:rsidRPr="009B6EF7">
        <w:rPr>
          <w:rFonts w:ascii="Times New Roman" w:hAnsi="Times New Roman"/>
          <w:sz w:val="22"/>
          <w:szCs w:val="22"/>
        </w:rPr>
        <w:t xml:space="preserve"> of the contract, contact the Contracting Authority in order to receive information about</w:t>
      </w:r>
      <w:r>
        <w:rPr>
          <w:rFonts w:ascii="Times New Roman" w:hAnsi="Times New Roman"/>
          <w:sz w:val="22"/>
          <w:szCs w:val="22"/>
        </w:rPr>
        <w:t xml:space="preserve"> the taxes and customs arrangements. </w:t>
      </w:r>
      <w:r w:rsidRPr="009B6EF7">
        <w:rPr>
          <w:rFonts w:ascii="Times New Roman" w:hAnsi="Times New Roman"/>
          <w:sz w:val="22"/>
          <w:szCs w:val="22"/>
        </w:rPr>
        <w:t>The Contractor will use its best endeavours to facilitate customs procedures and the freedom from clearance and taxes in accordance with Annex V – Taxes and Customs Arrangements.</w:t>
      </w:r>
    </w:p>
    <w:p w14:paraId="6797F7C0" w14:textId="77777777" w:rsidR="00E0396B" w:rsidRPr="00B5440B" w:rsidRDefault="00E0396B" w:rsidP="00FE689C">
      <w:pPr>
        <w:tabs>
          <w:tab w:val="left" w:pos="1134"/>
        </w:tabs>
        <w:jc w:val="both"/>
        <w:rPr>
          <w:rFonts w:ascii="Times New Roman" w:hAnsi="Times New Roman"/>
          <w:b/>
          <w:sz w:val="24"/>
          <w:szCs w:val="24"/>
        </w:rPr>
      </w:pPr>
      <w:r w:rsidRPr="00B5440B">
        <w:rPr>
          <w:rFonts w:ascii="Times New Roman" w:hAnsi="Times New Roman"/>
          <w:b/>
          <w:sz w:val="24"/>
          <w:szCs w:val="24"/>
        </w:rPr>
        <w:t>Article 9</w:t>
      </w:r>
      <w:r w:rsidRPr="00B5440B">
        <w:rPr>
          <w:rFonts w:ascii="Times New Roman" w:hAnsi="Times New Roman"/>
          <w:b/>
          <w:sz w:val="24"/>
          <w:szCs w:val="24"/>
        </w:rPr>
        <w:tab/>
        <w:t xml:space="preserve">General </w:t>
      </w:r>
      <w:r w:rsidR="00B2529B" w:rsidRPr="00B5440B">
        <w:rPr>
          <w:rFonts w:ascii="Times New Roman" w:hAnsi="Times New Roman"/>
          <w:b/>
          <w:sz w:val="24"/>
          <w:szCs w:val="24"/>
        </w:rPr>
        <w:t>o</w:t>
      </w:r>
      <w:r w:rsidRPr="00B5440B">
        <w:rPr>
          <w:rFonts w:ascii="Times New Roman" w:hAnsi="Times New Roman"/>
          <w:b/>
          <w:sz w:val="24"/>
          <w:szCs w:val="24"/>
        </w:rPr>
        <w:t>bligations</w:t>
      </w:r>
    </w:p>
    <w:p w14:paraId="32C1AD63" w14:textId="77777777" w:rsidR="00F865B8" w:rsidRPr="0088287A" w:rsidRDefault="00E0396B" w:rsidP="00F865B8">
      <w:pPr>
        <w:pStyle w:val="ListeNumaras"/>
        <w:numPr>
          <w:ilvl w:val="0"/>
          <w:numId w:val="0"/>
        </w:numPr>
        <w:spacing w:before="120" w:after="0"/>
        <w:ind w:left="1134" w:hanging="708"/>
        <w:rPr>
          <w:sz w:val="22"/>
          <w:szCs w:val="22"/>
          <w:u w:val="single"/>
          <w:lang w:val="tr-TR"/>
        </w:rPr>
      </w:pPr>
      <w:r w:rsidRPr="003D6B6C">
        <w:rPr>
          <w:sz w:val="22"/>
          <w:szCs w:val="22"/>
        </w:rPr>
        <w:t>9.9</w:t>
      </w:r>
      <w:r w:rsidRPr="003D6B6C">
        <w:rPr>
          <w:sz w:val="22"/>
          <w:szCs w:val="22"/>
        </w:rPr>
        <w:tab/>
      </w:r>
      <w:bookmarkStart w:id="10" w:name="_Toc124934900"/>
      <w:r w:rsidR="00F865B8" w:rsidRPr="009B6EF7">
        <w:rPr>
          <w:snapToGrid w:val="0"/>
          <w:sz w:val="22"/>
          <w:szCs w:val="22"/>
        </w:rPr>
        <w:t xml:space="preserve">The Contractor must take the necessary measures to ensure the visibility of the EU financing or co-financing. Such measures must be in accordance with the applicable rules on the visibility of external action laid down and published by the Commission. These rules are set out in the Communication and Visibility Manual for External Actions available from the </w:t>
      </w:r>
      <w:proofErr w:type="spellStart"/>
      <w:r w:rsidR="00F865B8" w:rsidRPr="009B6EF7">
        <w:rPr>
          <w:snapToGrid w:val="0"/>
          <w:sz w:val="22"/>
          <w:szCs w:val="22"/>
        </w:rPr>
        <w:t>EuropeAid</w:t>
      </w:r>
      <w:proofErr w:type="spellEnd"/>
      <w:r w:rsidR="00F865B8" w:rsidRPr="009B6EF7">
        <w:rPr>
          <w:snapToGrid w:val="0"/>
          <w:sz w:val="22"/>
          <w:szCs w:val="22"/>
        </w:rPr>
        <w:t xml:space="preserve"> website at </w:t>
      </w:r>
      <w:hyperlink r:id="rId12" w:history="1">
        <w:r w:rsidR="00F865B8" w:rsidRPr="009B6EF7">
          <w:rPr>
            <w:rStyle w:val="Kpr"/>
            <w:rFonts w:eastAsia="Calibri"/>
            <w:color w:val="auto"/>
            <w:sz w:val="22"/>
            <w:szCs w:val="22"/>
            <w:lang w:val="en-US"/>
          </w:rPr>
          <w:t>https://ec.europa.eu/europeaid/funding/communication-and-visibility-manual-eu-external-actions_en</w:t>
        </w:r>
      </w:hyperlink>
      <w:r w:rsidR="00F865B8" w:rsidRPr="009B6EF7">
        <w:rPr>
          <w:sz w:val="22"/>
          <w:szCs w:val="22"/>
        </w:rPr>
        <w:t xml:space="preserve"> complemented by the visibility guideline of the EU Delegation to </w:t>
      </w:r>
      <w:proofErr w:type="spellStart"/>
      <w:r w:rsidR="00F865B8" w:rsidRPr="009B6EF7">
        <w:rPr>
          <w:sz w:val="22"/>
          <w:szCs w:val="22"/>
        </w:rPr>
        <w:t>T</w:t>
      </w:r>
      <w:r w:rsidR="00F865B8">
        <w:rPr>
          <w:sz w:val="22"/>
          <w:szCs w:val="22"/>
        </w:rPr>
        <w:t>ürkiye</w:t>
      </w:r>
      <w:proofErr w:type="spellEnd"/>
      <w:r w:rsidR="00F865B8" w:rsidRPr="009B6EF7">
        <w:rPr>
          <w:sz w:val="22"/>
          <w:szCs w:val="22"/>
        </w:rPr>
        <w:t xml:space="preserve"> at </w:t>
      </w:r>
      <w:r w:rsidR="00F865B8" w:rsidRPr="0088287A">
        <w:rPr>
          <w:rStyle w:val="Kpr"/>
          <w:rFonts w:eastAsia="Calibri"/>
          <w:snapToGrid w:val="0"/>
          <w:color w:val="auto"/>
          <w:sz w:val="22"/>
          <w:szCs w:val="22"/>
          <w:lang w:val="en-US"/>
        </w:rPr>
        <w:t>https://www.eeas.europa.eu/delegations/t%C3%BCrkiye/visibility-guidelines-clarification-2022-guidelines-communicating-and-raising-eu-visibility_en</w:t>
      </w:r>
      <w:r w:rsidR="00F865B8" w:rsidRPr="0088287A">
        <w:rPr>
          <w:rStyle w:val="Kpr"/>
          <w:color w:val="auto"/>
          <w:sz w:val="22"/>
          <w:szCs w:val="22"/>
          <w:u w:val="none"/>
        </w:rPr>
        <w:t xml:space="preserve"> </w:t>
      </w:r>
      <w:r w:rsidR="00F865B8" w:rsidRPr="0088287A">
        <w:rPr>
          <w:sz w:val="22"/>
          <w:szCs w:val="22"/>
        </w:rPr>
        <w:t>until further notice.</w:t>
      </w:r>
    </w:p>
    <w:p w14:paraId="52B07B2D" w14:textId="77777777" w:rsidR="005F4144" w:rsidRDefault="00F865B8" w:rsidP="005F4144">
      <w:pPr>
        <w:jc w:val="both"/>
        <w:rPr>
          <w:rFonts w:ascii="Times New Roman" w:hAnsi="Times New Roman"/>
          <w:b/>
          <w:snapToGrid/>
        </w:rPr>
      </w:pPr>
      <w:r w:rsidRPr="009B6EF7">
        <w:rPr>
          <w:rFonts w:ascii="Times New Roman" w:hAnsi="Times New Roman"/>
          <w:sz w:val="22"/>
          <w:szCs w:val="22"/>
        </w:rPr>
        <w:tab/>
        <w:t xml:space="preserve"> </w:t>
      </w:r>
      <w:r w:rsidR="005F4144">
        <w:rPr>
          <w:rFonts w:ascii="Times New Roman" w:hAnsi="Times New Roman"/>
          <w:b/>
        </w:rPr>
        <w:t>LOGOS AND EMBLEMS</w:t>
      </w:r>
    </w:p>
    <w:p w14:paraId="05AA9390" w14:textId="37CFCC7A" w:rsidR="005F4144" w:rsidRPr="009B6EF7" w:rsidRDefault="002C5E99" w:rsidP="002C5E99">
      <w:pPr>
        <w:tabs>
          <w:tab w:val="left" w:pos="426"/>
        </w:tabs>
        <w:spacing w:after="240"/>
        <w:ind w:left="1134" w:hanging="708"/>
        <w:jc w:val="both"/>
        <w:rPr>
          <w:rFonts w:ascii="Times New Roman" w:hAnsi="Times New Roman"/>
          <w:sz w:val="22"/>
          <w:szCs w:val="22"/>
        </w:rPr>
      </w:pPr>
      <w:r w:rsidRPr="00232598">
        <w:rPr>
          <w:rFonts w:ascii="Times New Roman" w:hAnsi="Times New Roman"/>
          <w:sz w:val="22"/>
          <w:szCs w:val="22"/>
        </w:rPr>
        <w:t>These activities must comply with the latest Communication and Visibility Requirements for EU-funded external action, laid down and published by the European Commission</w:t>
      </w:r>
    </w:p>
    <w:p w14:paraId="7B0EBBEA" w14:textId="03115445" w:rsidR="0047783A" w:rsidRPr="003D6B6C" w:rsidRDefault="0047783A" w:rsidP="00F865B8">
      <w:pPr>
        <w:tabs>
          <w:tab w:val="left" w:pos="426"/>
        </w:tabs>
        <w:ind w:left="1134" w:right="-2" w:hanging="1134"/>
        <w:jc w:val="both"/>
        <w:rPr>
          <w:rFonts w:ascii="Times New Roman" w:hAnsi="Times New Roman"/>
          <w:b/>
          <w:sz w:val="24"/>
          <w:szCs w:val="24"/>
        </w:rPr>
      </w:pPr>
      <w:r w:rsidRPr="003D6B6C">
        <w:rPr>
          <w:rFonts w:ascii="Times New Roman" w:hAnsi="Times New Roman"/>
          <w:b/>
          <w:sz w:val="24"/>
          <w:szCs w:val="24"/>
        </w:rPr>
        <w:t>Article 10</w:t>
      </w:r>
      <w:r w:rsidR="00F865B8">
        <w:rPr>
          <w:rFonts w:ascii="Times New Roman" w:hAnsi="Times New Roman"/>
          <w:b/>
          <w:sz w:val="24"/>
          <w:szCs w:val="24"/>
        </w:rPr>
        <w:t xml:space="preserve"> </w:t>
      </w:r>
      <w:r w:rsidR="00F865B8">
        <w:rPr>
          <w:rFonts w:ascii="Times New Roman" w:hAnsi="Times New Roman"/>
          <w:b/>
          <w:sz w:val="24"/>
          <w:szCs w:val="24"/>
        </w:rPr>
        <w:tab/>
      </w:r>
      <w:r w:rsidRPr="003D6B6C">
        <w:rPr>
          <w:rFonts w:ascii="Times New Roman" w:hAnsi="Times New Roman"/>
          <w:b/>
          <w:sz w:val="24"/>
          <w:szCs w:val="24"/>
        </w:rPr>
        <w:t>Origin</w:t>
      </w:r>
      <w:bookmarkEnd w:id="10"/>
    </w:p>
    <w:p w14:paraId="03C8E249" w14:textId="77777777" w:rsidR="002C5E99" w:rsidRPr="00232598" w:rsidRDefault="0047783A" w:rsidP="002C5E99">
      <w:pPr>
        <w:pStyle w:val="Balk2"/>
        <w:numPr>
          <w:ilvl w:val="1"/>
          <w:numId w:val="0"/>
        </w:numPr>
        <w:spacing w:before="0"/>
        <w:ind w:left="1134" w:hanging="708"/>
        <w:jc w:val="both"/>
        <w:rPr>
          <w:rFonts w:ascii="Times New Roman" w:hAnsi="Times New Roman"/>
          <w:sz w:val="22"/>
          <w:szCs w:val="22"/>
          <w:lang w:val="en-GB"/>
        </w:rPr>
      </w:pPr>
      <w:r w:rsidRPr="003D6B6C">
        <w:rPr>
          <w:rFonts w:ascii="Times New Roman" w:hAnsi="Times New Roman"/>
          <w:sz w:val="22"/>
          <w:szCs w:val="22"/>
          <w:lang w:val="en-GB"/>
        </w:rPr>
        <w:t>10.1</w:t>
      </w:r>
      <w:r w:rsidRPr="003D6B6C">
        <w:rPr>
          <w:rFonts w:ascii="Times New Roman" w:hAnsi="Times New Roman"/>
          <w:sz w:val="22"/>
          <w:szCs w:val="22"/>
          <w:lang w:val="en-GB"/>
        </w:rPr>
        <w:tab/>
      </w:r>
      <w:bookmarkStart w:id="11" w:name="_Toc124934901"/>
      <w:r w:rsidR="002C5E99" w:rsidRPr="00232598">
        <w:rPr>
          <w:rFonts w:ascii="Times New Roman" w:hAnsi="Times New Roman"/>
          <w:sz w:val="22"/>
          <w:szCs w:val="22"/>
          <w:lang w:val="en-GB"/>
        </w:rPr>
        <w:t xml:space="preserve">All goods purchased must originate in an eligible source country as defined in Instrument for the Pre-Accession Assistance II (IPA III) programme for these purposes, ‘origin’ means the place where the goods are mined, grown, produced or manufactured. </w:t>
      </w:r>
    </w:p>
    <w:p w14:paraId="4C9DB202" w14:textId="77777777" w:rsidR="002C5E99" w:rsidRPr="00232598" w:rsidRDefault="002C5E99" w:rsidP="002C5E99">
      <w:pPr>
        <w:pStyle w:val="Balk2"/>
        <w:numPr>
          <w:ilvl w:val="1"/>
          <w:numId w:val="0"/>
        </w:numPr>
        <w:spacing w:before="0"/>
        <w:ind w:left="1134"/>
        <w:jc w:val="both"/>
        <w:rPr>
          <w:rFonts w:ascii="Times New Roman" w:hAnsi="Times New Roman"/>
          <w:sz w:val="22"/>
          <w:szCs w:val="22"/>
          <w:lang w:val="en-GB"/>
        </w:rPr>
      </w:pPr>
      <w:r w:rsidRPr="00232598">
        <w:rPr>
          <w:rFonts w:ascii="Times New Roman" w:hAnsi="Times New Roman"/>
          <w:sz w:val="22"/>
          <w:szCs w:val="22"/>
          <w:lang w:val="en-GB"/>
        </w:rPr>
        <w:t>The origin of the goods must be determined according to the EU Customs Code or to the relevant international agreement applicable</w:t>
      </w:r>
    </w:p>
    <w:p w14:paraId="617A1E87" w14:textId="7909B099" w:rsidR="00F865B8" w:rsidRDefault="00F865B8" w:rsidP="00F865B8">
      <w:pPr>
        <w:pStyle w:val="Balk2"/>
        <w:keepNext w:val="0"/>
        <w:numPr>
          <w:ilvl w:val="1"/>
          <w:numId w:val="0"/>
        </w:numPr>
        <w:spacing w:before="0"/>
        <w:ind w:left="1134" w:hanging="708"/>
        <w:jc w:val="both"/>
        <w:rPr>
          <w:rFonts w:ascii="Times New Roman" w:hAnsi="Times New Roman"/>
          <w:sz w:val="22"/>
          <w:szCs w:val="22"/>
          <w:lang w:val="en-IE"/>
        </w:rPr>
      </w:pPr>
      <w:r w:rsidRPr="00BD714A">
        <w:rPr>
          <w:rFonts w:ascii="Times New Roman" w:hAnsi="Times New Roman"/>
          <w:sz w:val="22"/>
          <w:szCs w:val="22"/>
          <w:lang w:val="en-IE"/>
        </w:rPr>
        <w:t>.</w:t>
      </w:r>
    </w:p>
    <w:p w14:paraId="08F8112F" w14:textId="01DEF56E" w:rsidR="0047783A" w:rsidRPr="003D6B6C" w:rsidRDefault="0047783A" w:rsidP="00F865B8">
      <w:pPr>
        <w:pStyle w:val="Balk2"/>
        <w:keepNext w:val="0"/>
        <w:numPr>
          <w:ilvl w:val="1"/>
          <w:numId w:val="0"/>
        </w:numPr>
        <w:spacing w:before="0"/>
        <w:ind w:left="1134" w:hanging="1134"/>
        <w:jc w:val="both"/>
        <w:rPr>
          <w:rFonts w:ascii="Times New Roman" w:hAnsi="Times New Roman"/>
          <w:b/>
          <w:sz w:val="24"/>
          <w:szCs w:val="24"/>
        </w:rPr>
      </w:pPr>
      <w:r w:rsidRPr="003D6B6C">
        <w:rPr>
          <w:rFonts w:ascii="Times New Roman" w:hAnsi="Times New Roman"/>
          <w:b/>
          <w:sz w:val="24"/>
          <w:szCs w:val="24"/>
        </w:rPr>
        <w:t>Article 11</w:t>
      </w:r>
      <w:r w:rsidRPr="003D6B6C">
        <w:rPr>
          <w:rFonts w:ascii="Times New Roman" w:hAnsi="Times New Roman"/>
          <w:b/>
          <w:sz w:val="24"/>
          <w:szCs w:val="24"/>
        </w:rPr>
        <w:tab/>
        <w:t xml:space="preserve">Performance </w:t>
      </w:r>
      <w:proofErr w:type="spellStart"/>
      <w:r w:rsidRPr="003D6B6C">
        <w:rPr>
          <w:rFonts w:ascii="Times New Roman" w:hAnsi="Times New Roman"/>
          <w:b/>
          <w:sz w:val="24"/>
          <w:szCs w:val="24"/>
        </w:rPr>
        <w:t>guarantee</w:t>
      </w:r>
      <w:bookmarkEnd w:id="11"/>
      <w:proofErr w:type="spellEnd"/>
    </w:p>
    <w:p w14:paraId="2FB7FBBC" w14:textId="14137787" w:rsidR="0047783A" w:rsidRPr="003D6B6C" w:rsidRDefault="00F355C1" w:rsidP="00B5440B">
      <w:pPr>
        <w:spacing w:before="0"/>
        <w:ind w:left="1134" w:hanging="709"/>
        <w:jc w:val="both"/>
        <w:rPr>
          <w:rFonts w:ascii="Times New Roman" w:hAnsi="Times New Roman"/>
          <w:sz w:val="22"/>
          <w:szCs w:val="22"/>
        </w:rPr>
      </w:pPr>
      <w:r w:rsidRPr="003D6B6C">
        <w:rPr>
          <w:rFonts w:ascii="Times New Roman" w:hAnsi="Times New Roman"/>
          <w:sz w:val="22"/>
          <w:szCs w:val="22"/>
        </w:rPr>
        <w:t>11.1</w:t>
      </w:r>
      <w:r w:rsidRPr="003D6B6C">
        <w:rPr>
          <w:rFonts w:ascii="Times New Roman" w:hAnsi="Times New Roman"/>
          <w:sz w:val="22"/>
          <w:szCs w:val="22"/>
        </w:rPr>
        <w:tab/>
      </w:r>
      <w:r w:rsidR="00F865B8" w:rsidRPr="00C33FFF">
        <w:rPr>
          <w:rFonts w:ascii="Times New Roman" w:hAnsi="Times New Roman"/>
          <w:sz w:val="22"/>
          <w:szCs w:val="22"/>
        </w:rPr>
        <w:t>The amount of the p</w:t>
      </w:r>
      <w:r w:rsidR="00F865B8">
        <w:rPr>
          <w:rFonts w:ascii="Times New Roman" w:hAnsi="Times New Roman"/>
          <w:sz w:val="22"/>
          <w:szCs w:val="22"/>
        </w:rPr>
        <w:t xml:space="preserve">erformance </w:t>
      </w:r>
      <w:r w:rsidR="005F4144">
        <w:rPr>
          <w:rFonts w:ascii="Times New Roman" w:hAnsi="Times New Roman"/>
          <w:sz w:val="22"/>
          <w:szCs w:val="22"/>
        </w:rPr>
        <w:t>guarantee shall be 6</w:t>
      </w:r>
      <w:r w:rsidR="00F865B8" w:rsidRPr="00C33FFF">
        <w:rPr>
          <w:rFonts w:ascii="Times New Roman" w:hAnsi="Times New Roman"/>
          <w:sz w:val="22"/>
          <w:szCs w:val="22"/>
        </w:rPr>
        <w:t xml:space="preserve"> % of the total Contract price, including any amounts stipulated in addenda to the Contract</w:t>
      </w:r>
      <w:r w:rsidR="00F865B8">
        <w:rPr>
          <w:rFonts w:ascii="Times New Roman" w:hAnsi="Times New Roman"/>
          <w:sz w:val="22"/>
          <w:szCs w:val="22"/>
        </w:rPr>
        <w:t>.</w:t>
      </w:r>
    </w:p>
    <w:p w14:paraId="674BFA44" w14:textId="77777777" w:rsidR="0047783A" w:rsidRPr="003D6B6C" w:rsidRDefault="0047783A" w:rsidP="00B34179">
      <w:pPr>
        <w:spacing w:before="240"/>
        <w:ind w:left="1134" w:hanging="1134"/>
        <w:jc w:val="both"/>
        <w:rPr>
          <w:rFonts w:ascii="Times New Roman" w:hAnsi="Times New Roman"/>
          <w:b/>
          <w:sz w:val="24"/>
          <w:szCs w:val="24"/>
        </w:rPr>
      </w:pPr>
      <w:bookmarkStart w:id="12" w:name="_Toc124934903"/>
      <w:r w:rsidRPr="003D6B6C">
        <w:rPr>
          <w:rFonts w:ascii="Times New Roman" w:hAnsi="Times New Roman"/>
          <w:b/>
          <w:sz w:val="24"/>
          <w:szCs w:val="24"/>
        </w:rPr>
        <w:t>Article 13</w:t>
      </w:r>
      <w:r w:rsidRPr="003D6B6C">
        <w:rPr>
          <w:rFonts w:ascii="Times New Roman" w:hAnsi="Times New Roman"/>
          <w:b/>
          <w:sz w:val="24"/>
          <w:szCs w:val="24"/>
        </w:rPr>
        <w:tab/>
      </w:r>
      <w:bookmarkEnd w:id="12"/>
      <w:r w:rsidR="0086688D" w:rsidRPr="003D6B6C">
        <w:rPr>
          <w:rFonts w:ascii="Times New Roman" w:hAnsi="Times New Roman"/>
          <w:b/>
          <w:sz w:val="24"/>
          <w:szCs w:val="24"/>
        </w:rPr>
        <w:t>Programme of implementation of tasks</w:t>
      </w:r>
    </w:p>
    <w:p w14:paraId="76081704" w14:textId="77777777" w:rsidR="00F865B8" w:rsidRPr="009420DC" w:rsidRDefault="00AC1107" w:rsidP="00F865B8">
      <w:pPr>
        <w:spacing w:before="0"/>
        <w:ind w:left="1134" w:hanging="709"/>
        <w:jc w:val="both"/>
        <w:rPr>
          <w:rFonts w:ascii="Times New Roman" w:hAnsi="Times New Roman"/>
          <w:b/>
          <w:sz w:val="22"/>
          <w:szCs w:val="22"/>
        </w:rPr>
      </w:pPr>
      <w:r w:rsidRPr="003D6B6C">
        <w:rPr>
          <w:rFonts w:ascii="Times New Roman" w:hAnsi="Times New Roman"/>
          <w:sz w:val="22"/>
          <w:szCs w:val="22"/>
        </w:rPr>
        <w:t>13.2</w:t>
      </w:r>
      <w:r w:rsidRPr="003D6B6C">
        <w:rPr>
          <w:rFonts w:ascii="Times New Roman" w:hAnsi="Times New Roman"/>
          <w:sz w:val="22"/>
          <w:szCs w:val="22"/>
        </w:rPr>
        <w:tab/>
      </w:r>
      <w:bookmarkStart w:id="13" w:name="_Toc124934904"/>
      <w:r w:rsidR="00F865B8">
        <w:rPr>
          <w:rFonts w:ascii="Times New Roman" w:hAnsi="Times New Roman"/>
          <w:sz w:val="22"/>
          <w:szCs w:val="22"/>
        </w:rPr>
        <w:t>Please refer to Article 19 for the p</w:t>
      </w:r>
      <w:r w:rsidR="00F865B8" w:rsidRPr="00C322FE">
        <w:rPr>
          <w:rFonts w:ascii="Times New Roman" w:hAnsi="Times New Roman"/>
          <w:sz w:val="22"/>
          <w:szCs w:val="22"/>
        </w:rPr>
        <w:t>eriod of implementation of tasks</w:t>
      </w:r>
      <w:r w:rsidR="00F865B8">
        <w:rPr>
          <w:rFonts w:ascii="Times New Roman" w:hAnsi="Times New Roman"/>
          <w:sz w:val="22"/>
          <w:szCs w:val="22"/>
        </w:rPr>
        <w:t>.</w:t>
      </w:r>
    </w:p>
    <w:p w14:paraId="2F67DF01" w14:textId="77777777" w:rsidR="00F865B8" w:rsidRPr="009B6EF7" w:rsidRDefault="00F865B8" w:rsidP="00F865B8">
      <w:pPr>
        <w:spacing w:before="0"/>
        <w:ind w:left="1134"/>
        <w:jc w:val="both"/>
        <w:rPr>
          <w:rFonts w:ascii="Times New Roman" w:hAnsi="Times New Roman"/>
          <w:sz w:val="22"/>
          <w:szCs w:val="22"/>
        </w:rPr>
      </w:pPr>
      <w:r>
        <w:rPr>
          <w:rFonts w:ascii="Times New Roman" w:hAnsi="Times New Roman"/>
          <w:sz w:val="22"/>
          <w:szCs w:val="22"/>
        </w:rPr>
        <w:t xml:space="preserve">Please refer to Article 7 for the submission and approval of the documents during the implementation period. </w:t>
      </w:r>
    </w:p>
    <w:p w14:paraId="1B05DF2B" w14:textId="0014A6D7" w:rsidR="0047783A" w:rsidRDefault="0047783A" w:rsidP="00B34179">
      <w:pPr>
        <w:spacing w:before="240"/>
        <w:ind w:left="1134" w:hanging="1134"/>
        <w:jc w:val="both"/>
        <w:rPr>
          <w:rFonts w:ascii="Times New Roman" w:hAnsi="Times New Roman"/>
          <w:b/>
          <w:sz w:val="24"/>
          <w:szCs w:val="24"/>
        </w:rPr>
      </w:pPr>
      <w:bookmarkStart w:id="14" w:name="_Toc124934905"/>
      <w:bookmarkEnd w:id="13"/>
      <w:r w:rsidRPr="003D6B6C">
        <w:rPr>
          <w:rFonts w:ascii="Times New Roman" w:hAnsi="Times New Roman"/>
          <w:b/>
          <w:sz w:val="24"/>
          <w:szCs w:val="24"/>
        </w:rPr>
        <w:lastRenderedPageBreak/>
        <w:t>Article 15</w:t>
      </w:r>
      <w:r w:rsidR="007B4853" w:rsidRPr="003D6B6C">
        <w:rPr>
          <w:rFonts w:ascii="Times New Roman" w:hAnsi="Times New Roman"/>
          <w:b/>
          <w:sz w:val="24"/>
          <w:szCs w:val="24"/>
        </w:rPr>
        <w:tab/>
      </w:r>
      <w:r w:rsidR="005B0129" w:rsidRPr="003D6B6C">
        <w:rPr>
          <w:rFonts w:ascii="Times New Roman" w:hAnsi="Times New Roman"/>
          <w:b/>
          <w:sz w:val="24"/>
          <w:szCs w:val="24"/>
        </w:rPr>
        <w:t>Sufficiency of t</w:t>
      </w:r>
      <w:r w:rsidRPr="003D6B6C">
        <w:rPr>
          <w:rFonts w:ascii="Times New Roman" w:hAnsi="Times New Roman"/>
          <w:b/>
          <w:sz w:val="24"/>
          <w:szCs w:val="24"/>
        </w:rPr>
        <w:t>ender prices</w:t>
      </w:r>
      <w:bookmarkEnd w:id="14"/>
    </w:p>
    <w:p w14:paraId="53D3FA29" w14:textId="21A49189" w:rsidR="009F323B" w:rsidRPr="003D6B6C" w:rsidRDefault="009F323B" w:rsidP="00D715B1">
      <w:pPr>
        <w:ind w:left="1134"/>
        <w:jc w:val="both"/>
        <w:rPr>
          <w:rFonts w:ascii="Times New Roman" w:hAnsi="Times New Roman"/>
          <w:b/>
          <w:sz w:val="24"/>
          <w:szCs w:val="24"/>
        </w:rPr>
      </w:pPr>
      <w:r w:rsidRPr="009F323B">
        <w:rPr>
          <w:rFonts w:ascii="Times New Roman" w:hAnsi="Times New Roman"/>
          <w:sz w:val="22"/>
        </w:rPr>
        <w:t xml:space="preserve">The price of the supplies shall be that shown on the financial offer (specimen in Annex IV). </w:t>
      </w:r>
    </w:p>
    <w:p w14:paraId="68BC2499" w14:textId="33514831" w:rsidR="00EB32E9" w:rsidRPr="003D6B6C" w:rsidRDefault="0047783A" w:rsidP="00B34179">
      <w:pPr>
        <w:spacing w:before="240"/>
        <w:ind w:left="1134" w:hanging="1134"/>
        <w:jc w:val="both"/>
        <w:rPr>
          <w:rFonts w:ascii="Times New Roman" w:hAnsi="Times New Roman"/>
          <w:b/>
          <w:sz w:val="24"/>
          <w:szCs w:val="24"/>
        </w:rPr>
      </w:pPr>
      <w:bookmarkStart w:id="15" w:name="_Toc124934907"/>
      <w:r w:rsidRPr="003D6B6C">
        <w:rPr>
          <w:rFonts w:ascii="Times New Roman" w:hAnsi="Times New Roman"/>
          <w:b/>
          <w:sz w:val="24"/>
          <w:szCs w:val="24"/>
        </w:rPr>
        <w:t>Article 18</w:t>
      </w:r>
      <w:r w:rsidRPr="003D6B6C">
        <w:rPr>
          <w:rFonts w:ascii="Times New Roman" w:hAnsi="Times New Roman"/>
          <w:b/>
          <w:sz w:val="24"/>
          <w:szCs w:val="24"/>
        </w:rPr>
        <w:tab/>
      </w:r>
      <w:r w:rsidR="00015C5E">
        <w:rPr>
          <w:rFonts w:ascii="Times New Roman" w:hAnsi="Times New Roman"/>
          <w:b/>
          <w:sz w:val="24"/>
          <w:szCs w:val="24"/>
        </w:rPr>
        <w:t xml:space="preserve">Delivery </w:t>
      </w:r>
      <w:r w:rsidRPr="003D6B6C">
        <w:rPr>
          <w:rFonts w:ascii="Times New Roman" w:hAnsi="Times New Roman"/>
          <w:b/>
          <w:sz w:val="24"/>
          <w:szCs w:val="24"/>
        </w:rPr>
        <w:t>order</w:t>
      </w:r>
      <w:bookmarkEnd w:id="15"/>
      <w:r w:rsidR="00EB32E9" w:rsidRPr="003D6B6C">
        <w:rPr>
          <w:rFonts w:ascii="Times New Roman" w:hAnsi="Times New Roman"/>
          <w:b/>
          <w:sz w:val="24"/>
          <w:szCs w:val="24"/>
        </w:rPr>
        <w:t xml:space="preserve"> </w:t>
      </w:r>
    </w:p>
    <w:p w14:paraId="3C7BBC71" w14:textId="02EE67DB" w:rsidR="00A13EB8" w:rsidRDefault="00EB32E9" w:rsidP="005D03AA">
      <w:pPr>
        <w:ind w:left="1134" w:hanging="709"/>
        <w:jc w:val="both"/>
        <w:rPr>
          <w:rFonts w:ascii="Times New Roman" w:hAnsi="Times New Roman"/>
          <w:sz w:val="22"/>
          <w:szCs w:val="22"/>
        </w:rPr>
      </w:pPr>
      <w:r w:rsidRPr="003D6B6C">
        <w:rPr>
          <w:rFonts w:ascii="Times New Roman" w:hAnsi="Times New Roman"/>
          <w:sz w:val="22"/>
          <w:szCs w:val="22"/>
        </w:rPr>
        <w:t>18.</w:t>
      </w:r>
      <w:r w:rsidR="00015C5E">
        <w:rPr>
          <w:rFonts w:ascii="Times New Roman" w:hAnsi="Times New Roman"/>
          <w:sz w:val="22"/>
          <w:szCs w:val="22"/>
        </w:rPr>
        <w:t>2</w:t>
      </w:r>
      <w:r w:rsidRPr="003D6B6C">
        <w:rPr>
          <w:rFonts w:ascii="Times New Roman" w:hAnsi="Times New Roman"/>
          <w:sz w:val="22"/>
          <w:szCs w:val="22"/>
        </w:rPr>
        <w:tab/>
      </w:r>
      <w:r w:rsidRPr="00D85726">
        <w:rPr>
          <w:rFonts w:ascii="Times New Roman" w:hAnsi="Times New Roman"/>
          <w:sz w:val="22"/>
          <w:szCs w:val="22"/>
        </w:rPr>
        <w:t xml:space="preserve">The </w:t>
      </w:r>
      <w:r w:rsidR="00F60098" w:rsidRPr="00D85726">
        <w:rPr>
          <w:rFonts w:ascii="Times New Roman" w:hAnsi="Times New Roman"/>
          <w:sz w:val="22"/>
          <w:szCs w:val="22"/>
        </w:rPr>
        <w:t>c</w:t>
      </w:r>
      <w:r w:rsidRPr="00D85726">
        <w:rPr>
          <w:rFonts w:ascii="Times New Roman" w:hAnsi="Times New Roman"/>
          <w:sz w:val="22"/>
          <w:szCs w:val="22"/>
        </w:rPr>
        <w:t xml:space="preserve">ontracting </w:t>
      </w:r>
      <w:r w:rsidR="00F60098" w:rsidRPr="00D85726">
        <w:rPr>
          <w:rFonts w:ascii="Times New Roman" w:hAnsi="Times New Roman"/>
          <w:sz w:val="22"/>
          <w:szCs w:val="22"/>
        </w:rPr>
        <w:t>a</w:t>
      </w:r>
      <w:r w:rsidRPr="00D85726">
        <w:rPr>
          <w:rFonts w:ascii="Times New Roman" w:hAnsi="Times New Roman"/>
          <w:sz w:val="22"/>
          <w:szCs w:val="22"/>
        </w:rPr>
        <w:t xml:space="preserve">uthority </w:t>
      </w:r>
      <w:r w:rsidR="00551543" w:rsidRPr="00D85726">
        <w:rPr>
          <w:rFonts w:ascii="Times New Roman" w:hAnsi="Times New Roman"/>
          <w:sz w:val="22"/>
          <w:szCs w:val="22"/>
        </w:rPr>
        <w:t>sha</w:t>
      </w:r>
      <w:r w:rsidRPr="00D85726">
        <w:rPr>
          <w:rFonts w:ascii="Times New Roman" w:hAnsi="Times New Roman"/>
          <w:sz w:val="22"/>
          <w:szCs w:val="22"/>
        </w:rPr>
        <w:t xml:space="preserve">ll inform the </w:t>
      </w:r>
      <w:r w:rsidR="00F60098" w:rsidRPr="00D85726">
        <w:rPr>
          <w:rFonts w:ascii="Times New Roman" w:hAnsi="Times New Roman"/>
          <w:sz w:val="22"/>
          <w:szCs w:val="22"/>
        </w:rPr>
        <w:t>c</w:t>
      </w:r>
      <w:r w:rsidRPr="00D85726">
        <w:rPr>
          <w:rFonts w:ascii="Times New Roman" w:hAnsi="Times New Roman"/>
          <w:sz w:val="22"/>
          <w:szCs w:val="22"/>
        </w:rPr>
        <w:t xml:space="preserve">ontractor </w:t>
      </w:r>
      <w:r w:rsidR="00551543" w:rsidRPr="00D85726">
        <w:rPr>
          <w:rFonts w:ascii="Times New Roman" w:hAnsi="Times New Roman"/>
          <w:sz w:val="22"/>
          <w:szCs w:val="22"/>
        </w:rPr>
        <w:t xml:space="preserve">by </w:t>
      </w:r>
      <w:r w:rsidR="003E5CA0" w:rsidRPr="00D85726">
        <w:rPr>
          <w:rFonts w:ascii="Times New Roman" w:hAnsi="Times New Roman"/>
          <w:sz w:val="22"/>
          <w:szCs w:val="22"/>
        </w:rPr>
        <w:t>delivery</w:t>
      </w:r>
      <w:r w:rsidR="00551543" w:rsidRPr="00D85726">
        <w:rPr>
          <w:rFonts w:ascii="Times New Roman" w:hAnsi="Times New Roman"/>
          <w:sz w:val="22"/>
          <w:szCs w:val="22"/>
        </w:rPr>
        <w:t xml:space="preserve"> order </w:t>
      </w:r>
      <w:r w:rsidRPr="00D85726">
        <w:rPr>
          <w:rFonts w:ascii="Times New Roman" w:hAnsi="Times New Roman"/>
          <w:sz w:val="22"/>
          <w:szCs w:val="22"/>
        </w:rPr>
        <w:t xml:space="preserve">of the date on which </w:t>
      </w:r>
      <w:r w:rsidR="00015C5E" w:rsidRPr="00D85726">
        <w:rPr>
          <w:rFonts w:ascii="Times New Roman" w:hAnsi="Times New Roman"/>
          <w:sz w:val="22"/>
          <w:szCs w:val="22"/>
        </w:rPr>
        <w:t>delivery of the goods/</w:t>
      </w:r>
      <w:r w:rsidRPr="00D85726">
        <w:rPr>
          <w:rFonts w:ascii="Times New Roman" w:hAnsi="Times New Roman"/>
          <w:sz w:val="22"/>
          <w:szCs w:val="22"/>
        </w:rPr>
        <w:t>implementation of the tasks shall begin</w:t>
      </w:r>
      <w:r w:rsidR="00551543" w:rsidRPr="00D85726">
        <w:rPr>
          <w:rFonts w:ascii="Times New Roman" w:hAnsi="Times New Roman"/>
          <w:sz w:val="22"/>
          <w:szCs w:val="22"/>
        </w:rPr>
        <w:t>.</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16" w:name="_Toc124934908"/>
      <w:r w:rsidRPr="003D6B6C">
        <w:rPr>
          <w:rFonts w:ascii="Times New Roman" w:hAnsi="Times New Roman"/>
          <w:b/>
          <w:sz w:val="24"/>
          <w:szCs w:val="24"/>
        </w:rPr>
        <w:t>Article 19</w:t>
      </w:r>
      <w:r w:rsidRPr="003D6B6C">
        <w:rPr>
          <w:rFonts w:ascii="Times New Roman" w:hAnsi="Times New Roman"/>
          <w:b/>
          <w:sz w:val="24"/>
          <w:szCs w:val="24"/>
        </w:rPr>
        <w:tab/>
        <w:t xml:space="preserve">Period of </w:t>
      </w:r>
      <w:r w:rsidR="00D662AA" w:rsidRPr="003D6B6C">
        <w:rPr>
          <w:rFonts w:ascii="Times New Roman" w:hAnsi="Times New Roman"/>
          <w:b/>
          <w:sz w:val="24"/>
          <w:szCs w:val="24"/>
        </w:rPr>
        <w:t>i</w:t>
      </w:r>
      <w:r w:rsidRPr="003D6B6C">
        <w:rPr>
          <w:rFonts w:ascii="Times New Roman" w:hAnsi="Times New Roman"/>
          <w:b/>
          <w:sz w:val="24"/>
          <w:szCs w:val="24"/>
        </w:rPr>
        <w:t>mplementation</w:t>
      </w:r>
      <w:bookmarkEnd w:id="16"/>
      <w:r w:rsidRPr="003D6B6C">
        <w:rPr>
          <w:rFonts w:ascii="Times New Roman" w:hAnsi="Times New Roman"/>
          <w:b/>
          <w:sz w:val="24"/>
          <w:szCs w:val="24"/>
        </w:rPr>
        <w:t xml:space="preserve"> of the tasks</w:t>
      </w:r>
    </w:p>
    <w:p w14:paraId="05A032BE" w14:textId="118305C3" w:rsidR="00E55D87" w:rsidRPr="003D6B6C" w:rsidRDefault="0047783A" w:rsidP="00B87B98">
      <w:pPr>
        <w:spacing w:before="0"/>
        <w:ind w:left="1134" w:hanging="709"/>
        <w:jc w:val="both"/>
        <w:rPr>
          <w:rFonts w:ascii="Times New Roman" w:hAnsi="Times New Roman"/>
          <w:b/>
          <w:sz w:val="22"/>
          <w:szCs w:val="22"/>
        </w:rPr>
      </w:pPr>
      <w:r w:rsidRPr="003D6B6C">
        <w:rPr>
          <w:rFonts w:ascii="Times New Roman" w:hAnsi="Times New Roman"/>
          <w:sz w:val="22"/>
          <w:szCs w:val="22"/>
        </w:rPr>
        <w:t>19.1</w:t>
      </w:r>
      <w:r w:rsidRPr="003D6B6C">
        <w:rPr>
          <w:rFonts w:ascii="Times New Roman" w:hAnsi="Times New Roman"/>
          <w:b/>
          <w:sz w:val="22"/>
          <w:szCs w:val="22"/>
        </w:rPr>
        <w:tab/>
      </w:r>
      <w:r w:rsidR="00A13EB8" w:rsidRPr="0043240C">
        <w:rPr>
          <w:rFonts w:ascii="Times New Roman" w:hAnsi="Times New Roman"/>
          <w:sz w:val="22"/>
        </w:rPr>
        <w:t xml:space="preserve">The </w:t>
      </w:r>
      <w:r w:rsidR="00A13EB8" w:rsidRPr="00772E0E">
        <w:rPr>
          <w:rFonts w:ascii="Times New Roman" w:hAnsi="Times New Roman"/>
          <w:b/>
          <w:sz w:val="22"/>
        </w:rPr>
        <w:t>implementation period of tasks</w:t>
      </w:r>
      <w:r w:rsidR="00A13EB8" w:rsidRPr="0043240C">
        <w:rPr>
          <w:rFonts w:ascii="Times New Roman" w:hAnsi="Times New Roman"/>
          <w:sz w:val="22"/>
        </w:rPr>
        <w:t xml:space="preserve"> shall</w:t>
      </w:r>
      <w:r w:rsidR="003933E2">
        <w:rPr>
          <w:rFonts w:ascii="Times New Roman" w:hAnsi="Times New Roman"/>
          <w:sz w:val="22"/>
        </w:rPr>
        <w:t xml:space="preserve"> be </w:t>
      </w:r>
      <w:r w:rsidR="00722CB8">
        <w:rPr>
          <w:rFonts w:ascii="Times New Roman" w:hAnsi="Times New Roman"/>
          <w:sz w:val="22"/>
        </w:rPr>
        <w:t>5</w:t>
      </w:r>
      <w:r w:rsidR="002C5E99">
        <w:rPr>
          <w:rFonts w:ascii="Times New Roman" w:hAnsi="Times New Roman"/>
          <w:sz w:val="22"/>
        </w:rPr>
        <w:t>0</w:t>
      </w:r>
      <w:r w:rsidR="003933E2">
        <w:rPr>
          <w:rFonts w:ascii="Times New Roman" w:hAnsi="Times New Roman"/>
          <w:sz w:val="22"/>
        </w:rPr>
        <w:t xml:space="preserve"> days</w:t>
      </w:r>
      <w:r w:rsidR="00A277E9">
        <w:rPr>
          <w:rFonts w:ascii="Times New Roman" w:hAnsi="Times New Roman"/>
          <w:sz w:val="22"/>
        </w:rPr>
        <w:t>.</w:t>
      </w:r>
    </w:p>
    <w:p w14:paraId="6EE8627F" w14:textId="77777777" w:rsidR="0047783A" w:rsidRPr="003D6B6C" w:rsidRDefault="0047783A" w:rsidP="00B34179">
      <w:pPr>
        <w:spacing w:before="240"/>
        <w:ind w:left="1134" w:hanging="1134"/>
        <w:jc w:val="both"/>
        <w:rPr>
          <w:rFonts w:ascii="Times New Roman" w:hAnsi="Times New Roman"/>
          <w:b/>
          <w:sz w:val="24"/>
          <w:szCs w:val="24"/>
        </w:rPr>
      </w:pPr>
      <w:bookmarkStart w:id="17" w:name="_Toc124934911"/>
      <w:r w:rsidRPr="003D6B6C">
        <w:rPr>
          <w:rFonts w:ascii="Times New Roman" w:hAnsi="Times New Roman"/>
          <w:b/>
          <w:sz w:val="24"/>
          <w:szCs w:val="24"/>
        </w:rPr>
        <w:t>Article 25</w:t>
      </w:r>
      <w:r w:rsidRPr="003D6B6C">
        <w:rPr>
          <w:rFonts w:ascii="Times New Roman" w:hAnsi="Times New Roman"/>
          <w:b/>
          <w:sz w:val="24"/>
          <w:szCs w:val="24"/>
        </w:rPr>
        <w:tab/>
        <w:t>Inspection and testing</w:t>
      </w:r>
      <w:bookmarkEnd w:id="17"/>
    </w:p>
    <w:p w14:paraId="5E2DB24D" w14:textId="19D96E5C" w:rsidR="00D85726" w:rsidRDefault="005B0129" w:rsidP="00D85726">
      <w:pPr>
        <w:tabs>
          <w:tab w:val="left" w:pos="1134"/>
        </w:tabs>
        <w:spacing w:before="0"/>
        <w:ind w:left="1134" w:hanging="720"/>
        <w:jc w:val="both"/>
        <w:rPr>
          <w:rFonts w:ascii="Times New Roman" w:hAnsi="Times New Roman"/>
          <w:sz w:val="22"/>
          <w:szCs w:val="22"/>
        </w:rPr>
      </w:pPr>
      <w:r w:rsidRPr="003D6B6C">
        <w:rPr>
          <w:rFonts w:ascii="Times New Roman" w:hAnsi="Times New Roman"/>
          <w:bCs/>
          <w:sz w:val="22"/>
          <w:szCs w:val="22"/>
        </w:rPr>
        <w:t>25.2</w:t>
      </w:r>
      <w:r w:rsidRPr="003D6B6C">
        <w:rPr>
          <w:rFonts w:ascii="Times New Roman" w:hAnsi="Times New Roman"/>
          <w:bCs/>
          <w:sz w:val="22"/>
          <w:szCs w:val="22"/>
        </w:rPr>
        <w:tab/>
      </w:r>
      <w:bookmarkStart w:id="18" w:name="_Toc124934912"/>
      <w:r w:rsidR="00AB0D0C" w:rsidRPr="00AB0D0C">
        <w:rPr>
          <w:rFonts w:ascii="Times New Roman" w:hAnsi="Times New Roman"/>
          <w:bCs/>
          <w:sz w:val="22"/>
          <w:szCs w:val="22"/>
        </w:rPr>
        <w:t>Inspection and Acceptance procedu</w:t>
      </w:r>
      <w:r w:rsidR="00AB0D0C">
        <w:rPr>
          <w:rFonts w:ascii="Times New Roman" w:hAnsi="Times New Roman"/>
          <w:bCs/>
          <w:sz w:val="22"/>
          <w:szCs w:val="22"/>
        </w:rPr>
        <w:t>res will be carried out within 10</w:t>
      </w:r>
      <w:r w:rsidR="00AB0D0C" w:rsidRPr="00AB0D0C">
        <w:rPr>
          <w:rFonts w:ascii="Times New Roman" w:hAnsi="Times New Roman"/>
          <w:bCs/>
          <w:sz w:val="22"/>
          <w:szCs w:val="22"/>
        </w:rPr>
        <w:t xml:space="preserve"> working days from the date of delivery of the specified products.</w:t>
      </w:r>
    </w:p>
    <w:p w14:paraId="76351DF5" w14:textId="0BBDBC1E" w:rsidR="0047783A" w:rsidRPr="003D6B6C" w:rsidRDefault="0047783A" w:rsidP="005E3A18">
      <w:pPr>
        <w:jc w:val="both"/>
        <w:rPr>
          <w:rFonts w:ascii="Times New Roman" w:hAnsi="Times New Roman"/>
          <w:b/>
          <w:sz w:val="24"/>
          <w:szCs w:val="24"/>
        </w:rPr>
      </w:pPr>
      <w:r w:rsidRPr="003D6B6C">
        <w:rPr>
          <w:rFonts w:ascii="Times New Roman" w:hAnsi="Times New Roman"/>
          <w:b/>
          <w:sz w:val="24"/>
          <w:szCs w:val="24"/>
        </w:rPr>
        <w:t xml:space="preserve">Article </w:t>
      </w:r>
      <w:proofErr w:type="gramStart"/>
      <w:r w:rsidRPr="003D6B6C">
        <w:rPr>
          <w:rFonts w:ascii="Times New Roman" w:hAnsi="Times New Roman"/>
          <w:b/>
          <w:sz w:val="24"/>
          <w:szCs w:val="24"/>
        </w:rPr>
        <w:t>26</w:t>
      </w:r>
      <w:bookmarkEnd w:id="18"/>
      <w:r w:rsidR="005E3A18">
        <w:rPr>
          <w:rFonts w:ascii="Times New Roman" w:hAnsi="Times New Roman"/>
          <w:b/>
          <w:sz w:val="24"/>
          <w:szCs w:val="24"/>
        </w:rPr>
        <w:t xml:space="preserve">  </w:t>
      </w:r>
      <w:r w:rsidR="005B0129" w:rsidRPr="003D6B6C">
        <w:rPr>
          <w:rFonts w:ascii="Times New Roman" w:hAnsi="Times New Roman"/>
          <w:b/>
          <w:sz w:val="24"/>
          <w:szCs w:val="24"/>
        </w:rPr>
        <w:t>General</w:t>
      </w:r>
      <w:proofErr w:type="gramEnd"/>
      <w:r w:rsidR="005B0129" w:rsidRPr="003D6B6C">
        <w:rPr>
          <w:rFonts w:ascii="Times New Roman" w:hAnsi="Times New Roman"/>
          <w:b/>
          <w:sz w:val="24"/>
          <w:szCs w:val="24"/>
        </w:rPr>
        <w:t xml:space="preserve"> principles for payments</w:t>
      </w:r>
    </w:p>
    <w:p w14:paraId="5E26213D" w14:textId="7B96AAE7" w:rsidR="00D85726" w:rsidRPr="003D6B6C" w:rsidRDefault="0047783A" w:rsidP="00D85726">
      <w:pPr>
        <w:tabs>
          <w:tab w:val="right" w:pos="9885"/>
        </w:tabs>
        <w:ind w:left="1134" w:hanging="709"/>
        <w:jc w:val="both"/>
        <w:rPr>
          <w:rFonts w:ascii="Times New Roman" w:hAnsi="Times New Roman"/>
          <w:sz w:val="22"/>
          <w:szCs w:val="22"/>
        </w:rPr>
      </w:pPr>
      <w:r w:rsidRPr="003D6B6C">
        <w:rPr>
          <w:rFonts w:ascii="Times New Roman" w:hAnsi="Times New Roman"/>
          <w:sz w:val="22"/>
          <w:szCs w:val="22"/>
        </w:rPr>
        <w:t>26.1</w:t>
      </w:r>
      <w:r w:rsidRPr="003D6B6C">
        <w:rPr>
          <w:rFonts w:ascii="Times New Roman" w:hAnsi="Times New Roman"/>
          <w:sz w:val="22"/>
          <w:szCs w:val="22"/>
        </w:rPr>
        <w:tab/>
      </w:r>
      <w:r w:rsidR="005F4144" w:rsidRPr="005F4144">
        <w:rPr>
          <w:rFonts w:ascii="Times New Roman" w:hAnsi="Times New Roman"/>
          <w:sz w:val="22"/>
          <w:szCs w:val="22"/>
        </w:rPr>
        <w:t>Payments</w:t>
      </w:r>
      <w:r w:rsidR="00722CB8">
        <w:rPr>
          <w:rFonts w:ascii="Times New Roman" w:hAnsi="Times New Roman"/>
          <w:sz w:val="22"/>
          <w:szCs w:val="22"/>
        </w:rPr>
        <w:t xml:space="preserve"> will be made in EURO</w:t>
      </w:r>
      <w:r w:rsidR="005F4144" w:rsidRPr="005F4144">
        <w:rPr>
          <w:rFonts w:ascii="Times New Roman" w:hAnsi="Times New Roman"/>
          <w:sz w:val="22"/>
          <w:szCs w:val="22"/>
        </w:rPr>
        <w:t>, calculated using the current exchange rate</w:t>
      </w:r>
      <w:proofErr w:type="gramStart"/>
      <w:r w:rsidR="005F4144" w:rsidRPr="005F4144">
        <w:rPr>
          <w:rFonts w:ascii="Times New Roman" w:hAnsi="Times New Roman"/>
          <w:sz w:val="22"/>
          <w:szCs w:val="22"/>
        </w:rPr>
        <w:t>.</w:t>
      </w:r>
      <w:r w:rsidR="005E3A18">
        <w:rPr>
          <w:rFonts w:ascii="Times New Roman" w:hAnsi="Times New Roman"/>
          <w:sz w:val="22"/>
          <w:szCs w:val="22"/>
        </w:rPr>
        <w:t>.</w:t>
      </w:r>
      <w:proofErr w:type="gramEnd"/>
    </w:p>
    <w:p w14:paraId="77D600EA" w14:textId="77777777" w:rsidR="00D85726" w:rsidRPr="003D6B6C" w:rsidRDefault="00D85726" w:rsidP="00D85726">
      <w:pPr>
        <w:tabs>
          <w:tab w:val="right" w:pos="9885"/>
        </w:tabs>
        <w:ind w:left="1134"/>
        <w:jc w:val="both"/>
        <w:rPr>
          <w:rFonts w:ascii="Times New Roman" w:hAnsi="Times New Roman"/>
          <w:sz w:val="22"/>
          <w:szCs w:val="22"/>
        </w:rPr>
      </w:pPr>
      <w:r w:rsidRPr="005606E1">
        <w:rPr>
          <w:rFonts w:ascii="Times New Roman" w:hAnsi="Times New Roman"/>
          <w:sz w:val="22"/>
          <w:szCs w:val="22"/>
        </w:rPr>
        <w:t>Pre-financing is not applicable to this contract</w:t>
      </w:r>
    </w:p>
    <w:p w14:paraId="147F3489" w14:textId="6C7FB0C3" w:rsidR="00283050" w:rsidRPr="003D6B6C" w:rsidRDefault="006D5CEE" w:rsidP="00283050">
      <w:pPr>
        <w:ind w:left="1134" w:hanging="709"/>
        <w:jc w:val="both"/>
        <w:rPr>
          <w:rFonts w:ascii="Times New Roman" w:hAnsi="Times New Roman"/>
          <w:sz w:val="22"/>
          <w:szCs w:val="22"/>
        </w:rPr>
      </w:pPr>
      <w:r w:rsidRPr="003D6B6C">
        <w:rPr>
          <w:rFonts w:ascii="Times New Roman" w:hAnsi="Times New Roman"/>
          <w:sz w:val="22"/>
          <w:szCs w:val="22"/>
        </w:rPr>
        <w:t>26.3</w:t>
      </w:r>
      <w:r w:rsidRPr="003D6B6C">
        <w:rPr>
          <w:rFonts w:ascii="Times New Roman" w:hAnsi="Times New Roman"/>
          <w:sz w:val="22"/>
          <w:szCs w:val="22"/>
        </w:rPr>
        <w:tab/>
      </w:r>
      <w:r w:rsidR="00D85726" w:rsidRPr="00A66F99">
        <w:rPr>
          <w:rFonts w:ascii="Times New Roman" w:hAnsi="Times New Roman"/>
          <w:sz w:val="22"/>
          <w:szCs w:val="22"/>
        </w:rPr>
        <w:t>By derogation, the final payment to the contractor of the am</w:t>
      </w:r>
      <w:r w:rsidR="005F4144">
        <w:rPr>
          <w:rFonts w:ascii="Times New Roman" w:hAnsi="Times New Roman"/>
          <w:sz w:val="22"/>
          <w:szCs w:val="22"/>
        </w:rPr>
        <w:t>ounts due shall be made within 3</w:t>
      </w:r>
      <w:r w:rsidR="00D85726" w:rsidRPr="00A66F99">
        <w:rPr>
          <w:rFonts w:ascii="Times New Roman" w:hAnsi="Times New Roman"/>
          <w:sz w:val="22"/>
          <w:szCs w:val="22"/>
        </w:rPr>
        <w:t>0 days after receipt by the contracting authority of an invoice and of the application for the certificate of provisional acceptance</w:t>
      </w:r>
      <w:r w:rsidR="00D85726">
        <w:rPr>
          <w:rFonts w:ascii="Times New Roman" w:hAnsi="Times New Roman"/>
          <w:sz w:val="22"/>
          <w:szCs w:val="22"/>
        </w:rPr>
        <w:t>.</w:t>
      </w:r>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19" w:name="_Toc124934913"/>
      <w:r w:rsidRPr="003D6B6C">
        <w:rPr>
          <w:rFonts w:ascii="Times New Roman" w:hAnsi="Times New Roman"/>
          <w:b/>
          <w:sz w:val="24"/>
          <w:szCs w:val="24"/>
        </w:rPr>
        <w:t>Article 28</w:t>
      </w:r>
      <w:r w:rsidRPr="003D6B6C">
        <w:rPr>
          <w:rFonts w:ascii="Times New Roman" w:hAnsi="Times New Roman"/>
          <w:b/>
          <w:sz w:val="24"/>
          <w:szCs w:val="24"/>
        </w:rPr>
        <w:tab/>
        <w:t>Delayed payments</w:t>
      </w:r>
    </w:p>
    <w:p w14:paraId="3B64B1B3" w14:textId="13CAB6B8" w:rsidR="0047783A" w:rsidRPr="003D6B6C" w:rsidRDefault="0047783A" w:rsidP="00D85726">
      <w:pPr>
        <w:autoSpaceDE w:val="0"/>
        <w:autoSpaceDN w:val="0"/>
        <w:adjustRightInd w:val="0"/>
        <w:ind w:left="1134" w:hanging="709"/>
        <w:jc w:val="both"/>
        <w:rPr>
          <w:rFonts w:ascii="Times New Roman" w:hAnsi="Times New Roman"/>
          <w:snapToGrid/>
          <w:sz w:val="22"/>
          <w:szCs w:val="22"/>
          <w:lang w:eastAsia="en-GB"/>
        </w:rPr>
      </w:pPr>
      <w:r w:rsidRPr="003D6B6C">
        <w:rPr>
          <w:rFonts w:ascii="Times New Roman" w:hAnsi="Times New Roman"/>
          <w:sz w:val="22"/>
          <w:szCs w:val="22"/>
        </w:rPr>
        <w:t>28.</w:t>
      </w:r>
      <w:r w:rsidR="00866B17" w:rsidRPr="003D6B6C">
        <w:rPr>
          <w:rFonts w:ascii="Times New Roman" w:hAnsi="Times New Roman"/>
          <w:sz w:val="22"/>
          <w:szCs w:val="22"/>
        </w:rPr>
        <w:t>2</w:t>
      </w:r>
      <w:r w:rsidRPr="003D6B6C">
        <w:rPr>
          <w:rFonts w:ascii="Times New Roman" w:hAnsi="Times New Roman"/>
          <w:b/>
          <w:sz w:val="22"/>
          <w:szCs w:val="22"/>
        </w:rPr>
        <w:tab/>
      </w:r>
      <w:r w:rsidRPr="00D85726">
        <w:rPr>
          <w:rFonts w:ascii="Times New Roman" w:hAnsi="Times New Roman"/>
          <w:snapToGrid/>
          <w:sz w:val="22"/>
          <w:szCs w:val="22"/>
          <w:lang w:eastAsia="en-GB"/>
        </w:rPr>
        <w:t xml:space="preserve">By derogation from Article 28.2 of the </w:t>
      </w:r>
      <w:r w:rsidR="00F60098" w:rsidRPr="00D85726">
        <w:rPr>
          <w:rFonts w:ascii="Times New Roman" w:hAnsi="Times New Roman"/>
          <w:snapToGrid/>
          <w:sz w:val="22"/>
          <w:szCs w:val="22"/>
          <w:lang w:eastAsia="en-GB"/>
        </w:rPr>
        <w:t>g</w:t>
      </w:r>
      <w:r w:rsidRPr="00D85726">
        <w:rPr>
          <w:rFonts w:ascii="Times New Roman" w:hAnsi="Times New Roman"/>
          <w:snapToGrid/>
          <w:sz w:val="22"/>
          <w:szCs w:val="22"/>
          <w:lang w:eastAsia="en-GB"/>
        </w:rPr>
        <w:t xml:space="preserve">eneral </w:t>
      </w:r>
      <w:r w:rsidR="00F60098" w:rsidRPr="00D85726">
        <w:rPr>
          <w:rFonts w:ascii="Times New Roman" w:hAnsi="Times New Roman"/>
          <w:snapToGrid/>
          <w:sz w:val="22"/>
          <w:szCs w:val="22"/>
          <w:lang w:eastAsia="en-GB"/>
        </w:rPr>
        <w:t>c</w:t>
      </w:r>
      <w:r w:rsidRPr="00D85726">
        <w:rPr>
          <w:rFonts w:ascii="Times New Roman" w:hAnsi="Times New Roman"/>
          <w:snapToGrid/>
          <w:sz w:val="22"/>
          <w:szCs w:val="22"/>
          <w:lang w:eastAsia="en-GB"/>
        </w:rPr>
        <w:t>onditions, o</w:t>
      </w:r>
      <w:r w:rsidRPr="00D85726">
        <w:rPr>
          <w:rFonts w:ascii="Times New Roman" w:hAnsi="Times New Roman"/>
          <w:sz w:val="22"/>
          <w:szCs w:val="22"/>
        </w:rPr>
        <w:t>nce the deadline laid down in Article 2</w:t>
      </w:r>
      <w:r w:rsidR="00D83918" w:rsidRPr="00D85726">
        <w:rPr>
          <w:rFonts w:ascii="Times New Roman" w:hAnsi="Times New Roman"/>
          <w:sz w:val="22"/>
          <w:szCs w:val="22"/>
        </w:rPr>
        <w:t>6.3</w:t>
      </w:r>
      <w:r w:rsidRPr="00D85726">
        <w:rPr>
          <w:rFonts w:ascii="Times New Roman" w:hAnsi="Times New Roman"/>
          <w:sz w:val="22"/>
          <w:szCs w:val="22"/>
        </w:rPr>
        <w:t xml:space="preserve"> has expired, the </w:t>
      </w:r>
      <w:r w:rsidR="00F60098" w:rsidRPr="00D85726">
        <w:rPr>
          <w:rFonts w:ascii="Times New Roman" w:hAnsi="Times New Roman"/>
          <w:sz w:val="22"/>
          <w:szCs w:val="22"/>
        </w:rPr>
        <w:t>c</w:t>
      </w:r>
      <w:r w:rsidRPr="00D85726">
        <w:rPr>
          <w:rFonts w:ascii="Times New Roman" w:hAnsi="Times New Roman"/>
          <w:sz w:val="22"/>
          <w:szCs w:val="22"/>
        </w:rPr>
        <w:t xml:space="preserve">ontractor </w:t>
      </w:r>
      <w:r w:rsidR="00551543" w:rsidRPr="00D85726">
        <w:rPr>
          <w:rFonts w:ascii="Times New Roman" w:hAnsi="Times New Roman"/>
          <w:sz w:val="22"/>
          <w:szCs w:val="22"/>
        </w:rPr>
        <w:t>sha</w:t>
      </w:r>
      <w:r w:rsidR="006D3BA1" w:rsidRPr="00D85726">
        <w:rPr>
          <w:rFonts w:ascii="Times New Roman" w:hAnsi="Times New Roman"/>
          <w:sz w:val="22"/>
          <w:szCs w:val="22"/>
        </w:rPr>
        <w:t>ll,</w:t>
      </w:r>
      <w:r w:rsidRPr="00D85726">
        <w:rPr>
          <w:rFonts w:ascii="Times New Roman" w:hAnsi="Times New Roman"/>
          <w:sz w:val="22"/>
          <w:szCs w:val="22"/>
        </w:rPr>
        <w:t xml:space="preserve"> upon demand, </w:t>
      </w:r>
      <w:r w:rsidR="006D3BA1" w:rsidRPr="00D85726">
        <w:rPr>
          <w:rFonts w:ascii="Times New Roman" w:hAnsi="Times New Roman"/>
          <w:sz w:val="22"/>
          <w:szCs w:val="22"/>
        </w:rPr>
        <w:t xml:space="preserve">be entitled to late-payment interest </w:t>
      </w:r>
      <w:r w:rsidR="00117ADA" w:rsidRPr="00D85726">
        <w:rPr>
          <w:rFonts w:ascii="Times New Roman" w:hAnsi="Times New Roman"/>
          <w:sz w:val="22"/>
          <w:szCs w:val="22"/>
        </w:rPr>
        <w:t xml:space="preserve">at the rate and for the period mentioned in the </w:t>
      </w:r>
      <w:r w:rsidR="00F60098" w:rsidRPr="00D85726">
        <w:rPr>
          <w:rFonts w:ascii="Times New Roman" w:hAnsi="Times New Roman"/>
          <w:sz w:val="22"/>
          <w:szCs w:val="22"/>
        </w:rPr>
        <w:t>g</w:t>
      </w:r>
      <w:r w:rsidR="00117ADA" w:rsidRPr="00D85726">
        <w:rPr>
          <w:rFonts w:ascii="Times New Roman" w:hAnsi="Times New Roman"/>
          <w:sz w:val="22"/>
          <w:szCs w:val="22"/>
        </w:rPr>
        <w:t xml:space="preserve">eneral </w:t>
      </w:r>
      <w:r w:rsidR="00F60098" w:rsidRPr="00D85726">
        <w:rPr>
          <w:rFonts w:ascii="Times New Roman" w:hAnsi="Times New Roman"/>
          <w:sz w:val="22"/>
          <w:szCs w:val="22"/>
        </w:rPr>
        <w:t>c</w:t>
      </w:r>
      <w:r w:rsidR="00117ADA" w:rsidRPr="00D85726">
        <w:rPr>
          <w:rFonts w:ascii="Times New Roman" w:hAnsi="Times New Roman"/>
          <w:sz w:val="22"/>
          <w:szCs w:val="22"/>
        </w:rPr>
        <w:t>onditions</w:t>
      </w:r>
      <w:r w:rsidR="006D3BA1" w:rsidRPr="00D85726">
        <w:rPr>
          <w:rFonts w:ascii="Times New Roman" w:hAnsi="Times New Roman"/>
          <w:sz w:val="22"/>
          <w:szCs w:val="22"/>
        </w:rPr>
        <w:t xml:space="preserve">. The demand must be </w:t>
      </w:r>
      <w:r w:rsidRPr="00D85726">
        <w:rPr>
          <w:rFonts w:ascii="Times New Roman" w:hAnsi="Times New Roman"/>
          <w:sz w:val="22"/>
          <w:szCs w:val="22"/>
        </w:rPr>
        <w:t>submitted within two months of receiving late payment.</w:t>
      </w:r>
    </w:p>
    <w:p w14:paraId="210201A9" w14:textId="4F7A92A8" w:rsidR="0047783A" w:rsidRDefault="0047783A" w:rsidP="00B34179">
      <w:pPr>
        <w:spacing w:before="240"/>
        <w:ind w:left="1134" w:hanging="1134"/>
        <w:jc w:val="both"/>
        <w:rPr>
          <w:rFonts w:ascii="Times New Roman" w:hAnsi="Times New Roman"/>
          <w:b/>
          <w:sz w:val="24"/>
          <w:szCs w:val="24"/>
        </w:rPr>
      </w:pPr>
      <w:r w:rsidRPr="003D6B6C">
        <w:rPr>
          <w:rFonts w:ascii="Times New Roman" w:hAnsi="Times New Roman"/>
          <w:b/>
          <w:sz w:val="24"/>
          <w:szCs w:val="24"/>
        </w:rPr>
        <w:t>Article 29</w:t>
      </w:r>
      <w:r w:rsidRPr="003D6B6C">
        <w:rPr>
          <w:rFonts w:ascii="Times New Roman" w:hAnsi="Times New Roman"/>
          <w:b/>
          <w:sz w:val="24"/>
          <w:szCs w:val="24"/>
        </w:rPr>
        <w:tab/>
        <w:t>Delivery</w:t>
      </w:r>
      <w:bookmarkEnd w:id="19"/>
    </w:p>
    <w:p w14:paraId="2C5926D3" w14:textId="1C50A2C7" w:rsidR="00BD1517" w:rsidRPr="003D6B6C" w:rsidRDefault="00BD1517" w:rsidP="00B34179">
      <w:pPr>
        <w:spacing w:before="240"/>
        <w:ind w:left="1134" w:hanging="1134"/>
        <w:jc w:val="both"/>
        <w:rPr>
          <w:rFonts w:ascii="Times New Roman" w:hAnsi="Times New Roman"/>
          <w:b/>
          <w:sz w:val="24"/>
          <w:szCs w:val="24"/>
        </w:rPr>
      </w:pPr>
      <w:r w:rsidRPr="00B5440B">
        <w:rPr>
          <w:rFonts w:ascii="Times New Roman" w:hAnsi="Times New Roman"/>
          <w:sz w:val="22"/>
          <w:szCs w:val="22"/>
        </w:rPr>
        <w:t xml:space="preserve">29.1 </w:t>
      </w:r>
      <w:r>
        <w:rPr>
          <w:rFonts w:ascii="Times New Roman" w:hAnsi="Times New Roman"/>
          <w:sz w:val="22"/>
          <w:szCs w:val="22"/>
        </w:rPr>
        <w:t>T</w:t>
      </w:r>
      <w:r w:rsidRPr="00BD1517">
        <w:rPr>
          <w:rFonts w:ascii="Times New Roman" w:hAnsi="Times New Roman"/>
          <w:sz w:val="22"/>
          <w:szCs w:val="22"/>
        </w:rPr>
        <w:t>he Incoterm applicable shall be</w:t>
      </w:r>
      <w:r w:rsidR="00012D62">
        <w:rPr>
          <w:rFonts w:ascii="Times New Roman" w:hAnsi="Times New Roman"/>
          <w:sz w:val="22"/>
          <w:szCs w:val="22"/>
        </w:rPr>
        <w:t xml:space="preserve"> DDP.</w:t>
      </w:r>
    </w:p>
    <w:p w14:paraId="091FF1AA" w14:textId="77777777" w:rsidR="00012D62" w:rsidRPr="003D6B6C" w:rsidRDefault="0047783A" w:rsidP="00012D62">
      <w:pPr>
        <w:ind w:left="1134" w:hanging="709"/>
        <w:jc w:val="both"/>
        <w:rPr>
          <w:rFonts w:ascii="Times New Roman" w:hAnsi="Times New Roman"/>
          <w:sz w:val="22"/>
          <w:szCs w:val="22"/>
        </w:rPr>
      </w:pPr>
      <w:r w:rsidRPr="003D6B6C">
        <w:rPr>
          <w:rFonts w:ascii="Times New Roman" w:hAnsi="Times New Roman"/>
          <w:sz w:val="22"/>
          <w:szCs w:val="22"/>
        </w:rPr>
        <w:t>29.</w:t>
      </w:r>
      <w:r w:rsidR="005B0129" w:rsidRPr="003D6B6C">
        <w:rPr>
          <w:rFonts w:ascii="Times New Roman" w:hAnsi="Times New Roman"/>
          <w:sz w:val="22"/>
          <w:szCs w:val="22"/>
        </w:rPr>
        <w:t>3</w:t>
      </w:r>
      <w:r w:rsidRPr="003D6B6C">
        <w:rPr>
          <w:rFonts w:ascii="Times New Roman" w:hAnsi="Times New Roman"/>
          <w:b/>
          <w:sz w:val="22"/>
          <w:szCs w:val="22"/>
        </w:rPr>
        <w:tab/>
      </w:r>
      <w:r w:rsidR="00012D62" w:rsidRPr="00A66F99">
        <w:rPr>
          <w:rFonts w:ascii="Times New Roman" w:hAnsi="Times New Roman"/>
          <w:sz w:val="22"/>
          <w:szCs w:val="22"/>
        </w:rPr>
        <w:t>The packaging shall become the property of the recipient subject to environmental considerations.</w:t>
      </w:r>
    </w:p>
    <w:p w14:paraId="64F05594" w14:textId="365AFA43" w:rsidR="00BD1517" w:rsidRPr="003D6B6C" w:rsidRDefault="00BD1517" w:rsidP="00012D62">
      <w:pPr>
        <w:ind w:left="1134" w:hanging="709"/>
        <w:jc w:val="both"/>
        <w:rPr>
          <w:rFonts w:ascii="Times New Roman" w:hAnsi="Times New Roman"/>
          <w:b/>
          <w:sz w:val="22"/>
          <w:szCs w:val="22"/>
        </w:rPr>
      </w:pPr>
      <w:r>
        <w:rPr>
          <w:rFonts w:ascii="Times New Roman" w:hAnsi="Times New Roman"/>
          <w:sz w:val="22"/>
          <w:szCs w:val="22"/>
        </w:rPr>
        <w:t>29.4</w:t>
      </w:r>
      <w:r w:rsidR="009D0375">
        <w:rPr>
          <w:rFonts w:ascii="Times New Roman" w:hAnsi="Times New Roman"/>
          <w:sz w:val="22"/>
          <w:szCs w:val="22"/>
        </w:rPr>
        <w:tab/>
      </w:r>
      <w:r w:rsidRPr="0043240C">
        <w:rPr>
          <w:rFonts w:ascii="Times New Roman" w:hAnsi="Times New Roman"/>
          <w:sz w:val="22"/>
        </w:rPr>
        <w:t xml:space="preserve">The place of acceptance of the supplies shall be </w:t>
      </w:r>
      <w:r w:rsidR="00012D62">
        <w:rPr>
          <w:rFonts w:ascii="Times New Roman" w:hAnsi="Times New Roman"/>
          <w:sz w:val="22"/>
        </w:rPr>
        <w:t xml:space="preserve">the Presidency of </w:t>
      </w:r>
      <w:r w:rsidR="005F4144" w:rsidRPr="005F4144">
        <w:rPr>
          <w:rFonts w:ascii="Times New Roman" w:hAnsi="Times New Roman"/>
          <w:sz w:val="22"/>
        </w:rPr>
        <w:t>Ministry of Family and Social Services</w:t>
      </w:r>
      <w:r w:rsidR="005F4144">
        <w:rPr>
          <w:rFonts w:ascii="Times New Roman" w:hAnsi="Times New Roman"/>
          <w:sz w:val="22"/>
        </w:rPr>
        <w:t xml:space="preserve"> Frit Coordinator Office</w:t>
      </w:r>
    </w:p>
    <w:p w14:paraId="4AFBF379" w14:textId="77777777" w:rsidR="00012D62" w:rsidRPr="009B6EF7" w:rsidRDefault="0047783A" w:rsidP="00012D62">
      <w:pPr>
        <w:autoSpaceDE w:val="0"/>
        <w:autoSpaceDN w:val="0"/>
        <w:adjustRightInd w:val="0"/>
        <w:spacing w:before="0"/>
        <w:ind w:left="1134" w:hanging="850"/>
        <w:jc w:val="both"/>
        <w:rPr>
          <w:rFonts w:ascii="Times New Roman" w:hAnsi="Times New Roman"/>
          <w:sz w:val="22"/>
          <w:szCs w:val="22"/>
        </w:rPr>
      </w:pPr>
      <w:r w:rsidRPr="003D6B6C">
        <w:rPr>
          <w:rFonts w:ascii="Times New Roman" w:hAnsi="Times New Roman"/>
          <w:sz w:val="22"/>
          <w:szCs w:val="22"/>
        </w:rPr>
        <w:t>29.5/6</w:t>
      </w:r>
      <w:r w:rsidR="0041345E" w:rsidRPr="003D6B6C">
        <w:rPr>
          <w:rFonts w:ascii="Times New Roman" w:hAnsi="Times New Roman"/>
          <w:sz w:val="22"/>
          <w:szCs w:val="22"/>
        </w:rPr>
        <w:t>/7</w:t>
      </w:r>
      <w:r w:rsidRPr="003D6B6C">
        <w:rPr>
          <w:rFonts w:ascii="Times New Roman" w:hAnsi="Times New Roman"/>
          <w:sz w:val="22"/>
          <w:szCs w:val="22"/>
        </w:rPr>
        <w:tab/>
      </w:r>
      <w:bookmarkStart w:id="20" w:name="_Toc124934914"/>
      <w:r w:rsidR="00012D62" w:rsidRPr="009B6EF7">
        <w:rPr>
          <w:rFonts w:ascii="Times New Roman" w:hAnsi="Times New Roman"/>
          <w:sz w:val="22"/>
          <w:szCs w:val="22"/>
        </w:rPr>
        <w:t>Delivery of equipment shall be accompanied by a note showing the contract reference number, publication reference and the delivery address. The supply shall include all necessary documents as specified</w:t>
      </w:r>
      <w:r w:rsidR="00012D62">
        <w:rPr>
          <w:rFonts w:ascii="Times New Roman" w:hAnsi="Times New Roman"/>
          <w:sz w:val="22"/>
          <w:szCs w:val="22"/>
        </w:rPr>
        <w:t xml:space="preserve"> in contract and its annexes.</w:t>
      </w:r>
    </w:p>
    <w:p w14:paraId="3EB85514" w14:textId="77777777" w:rsidR="00012D62" w:rsidRPr="009B6EF7" w:rsidRDefault="00012D62" w:rsidP="00012D62">
      <w:pPr>
        <w:widowControl w:val="0"/>
        <w:spacing w:before="0"/>
        <w:ind w:left="1134"/>
        <w:jc w:val="both"/>
        <w:rPr>
          <w:rFonts w:ascii="Times New Roman" w:hAnsi="Times New Roman"/>
          <w:sz w:val="22"/>
          <w:szCs w:val="22"/>
        </w:rPr>
      </w:pPr>
      <w:r w:rsidRPr="009B6EF7">
        <w:rPr>
          <w:rFonts w:ascii="Times New Roman" w:hAnsi="Times New Roman"/>
          <w:sz w:val="22"/>
          <w:szCs w:val="22"/>
        </w:rPr>
        <w:t>All packages must be marked as follows:</w:t>
      </w:r>
    </w:p>
    <w:p w14:paraId="40A4BE3A" w14:textId="77777777" w:rsidR="00012D62" w:rsidRDefault="00012D62" w:rsidP="00012D62">
      <w:pPr>
        <w:widowControl w:val="0"/>
        <w:spacing w:before="0"/>
        <w:ind w:left="1134"/>
        <w:jc w:val="both"/>
        <w:rPr>
          <w:rFonts w:ascii="Times New Roman" w:hAnsi="Times New Roman"/>
          <w:b/>
          <w:sz w:val="22"/>
          <w:szCs w:val="22"/>
        </w:rPr>
      </w:pPr>
      <w:r>
        <w:rPr>
          <w:rFonts w:ascii="Times New Roman" w:hAnsi="Times New Roman"/>
          <w:b/>
          <w:sz w:val="22"/>
          <w:szCs w:val="22"/>
        </w:rPr>
        <w:t xml:space="preserve">Contract No: </w:t>
      </w:r>
    </w:p>
    <w:p w14:paraId="0B22885F" w14:textId="77777777" w:rsidR="00012D62" w:rsidRPr="009B6EF7" w:rsidRDefault="00012D62" w:rsidP="00012D62">
      <w:pPr>
        <w:widowControl w:val="0"/>
        <w:spacing w:before="0"/>
        <w:ind w:left="1134"/>
        <w:jc w:val="both"/>
        <w:rPr>
          <w:rFonts w:ascii="Times New Roman" w:hAnsi="Times New Roman"/>
          <w:sz w:val="22"/>
          <w:szCs w:val="22"/>
        </w:rPr>
      </w:pPr>
      <w:r w:rsidRPr="009B6EF7">
        <w:rPr>
          <w:rFonts w:ascii="Times New Roman" w:hAnsi="Times New Roman"/>
          <w:b/>
          <w:sz w:val="22"/>
          <w:szCs w:val="22"/>
        </w:rPr>
        <w:t>Publication Reference:</w:t>
      </w:r>
      <w:r w:rsidRPr="009B6EF7">
        <w:rPr>
          <w:rFonts w:ascii="Times New Roman" w:hAnsi="Times New Roman"/>
          <w:sz w:val="22"/>
          <w:szCs w:val="22"/>
        </w:rPr>
        <w:t xml:space="preserve"> </w:t>
      </w:r>
    </w:p>
    <w:p w14:paraId="46D65B0F" w14:textId="69F3236C" w:rsidR="00012D62" w:rsidRPr="009B6EF7" w:rsidRDefault="00012D62" w:rsidP="00012D62">
      <w:pPr>
        <w:widowControl w:val="0"/>
        <w:tabs>
          <w:tab w:val="left" w:pos="3261"/>
        </w:tabs>
        <w:spacing w:before="0"/>
        <w:ind w:left="1134"/>
        <w:jc w:val="both"/>
        <w:rPr>
          <w:rFonts w:ascii="Times New Roman" w:hAnsi="Times New Roman"/>
          <w:sz w:val="22"/>
          <w:szCs w:val="22"/>
        </w:rPr>
      </w:pPr>
      <w:r w:rsidRPr="009B6EF7">
        <w:rPr>
          <w:rFonts w:ascii="Times New Roman" w:hAnsi="Times New Roman"/>
          <w:b/>
          <w:sz w:val="22"/>
          <w:szCs w:val="22"/>
        </w:rPr>
        <w:lastRenderedPageBreak/>
        <w:t xml:space="preserve">Supply Contract: </w:t>
      </w:r>
    </w:p>
    <w:p w14:paraId="28703148" w14:textId="77777777" w:rsidR="00012D62" w:rsidRPr="009B6EF7" w:rsidRDefault="00012D62" w:rsidP="00012D62">
      <w:pPr>
        <w:widowControl w:val="0"/>
        <w:spacing w:before="0"/>
        <w:ind w:left="1134"/>
        <w:jc w:val="both"/>
        <w:rPr>
          <w:rFonts w:ascii="Times New Roman" w:hAnsi="Times New Roman"/>
          <w:sz w:val="22"/>
          <w:szCs w:val="22"/>
        </w:rPr>
      </w:pPr>
      <w:r w:rsidRPr="009B6EF7">
        <w:rPr>
          <w:rFonts w:ascii="Times New Roman" w:hAnsi="Times New Roman"/>
          <w:b/>
          <w:sz w:val="22"/>
          <w:szCs w:val="22"/>
        </w:rPr>
        <w:t>Supply address:</w:t>
      </w:r>
      <w:r w:rsidRPr="009B6EF7">
        <w:rPr>
          <w:rFonts w:ascii="Times New Roman" w:hAnsi="Times New Roman"/>
          <w:sz w:val="22"/>
          <w:szCs w:val="22"/>
        </w:rPr>
        <w:t xml:space="preserve"> </w:t>
      </w:r>
    </w:p>
    <w:p w14:paraId="15DA73DC" w14:textId="2F703AD9" w:rsidR="00012D62" w:rsidRDefault="00012D62" w:rsidP="005F4144">
      <w:pPr>
        <w:widowControl w:val="0"/>
        <w:spacing w:before="0"/>
        <w:jc w:val="both"/>
        <w:rPr>
          <w:rFonts w:ascii="Times New Roman" w:hAnsi="Times New Roman"/>
          <w:sz w:val="22"/>
          <w:szCs w:val="22"/>
        </w:rPr>
      </w:pPr>
    </w:p>
    <w:p w14:paraId="7C1E7DCB" w14:textId="4EEB889B" w:rsidR="0047783A" w:rsidRPr="003D6B6C" w:rsidRDefault="0047783A" w:rsidP="00012D62">
      <w:pPr>
        <w:ind w:left="1134" w:hanging="1134"/>
        <w:jc w:val="both"/>
        <w:rPr>
          <w:rFonts w:ascii="Times New Roman" w:hAnsi="Times New Roman"/>
          <w:b/>
          <w:sz w:val="24"/>
          <w:szCs w:val="24"/>
        </w:rPr>
      </w:pPr>
      <w:r w:rsidRPr="003D6B6C">
        <w:rPr>
          <w:rFonts w:ascii="Times New Roman" w:hAnsi="Times New Roman"/>
          <w:b/>
          <w:sz w:val="24"/>
          <w:szCs w:val="24"/>
        </w:rPr>
        <w:t>Article 31</w:t>
      </w:r>
      <w:r w:rsidRPr="003D6B6C">
        <w:rPr>
          <w:rFonts w:ascii="Times New Roman" w:hAnsi="Times New Roman"/>
          <w:b/>
          <w:sz w:val="24"/>
          <w:szCs w:val="24"/>
        </w:rPr>
        <w:tab/>
        <w:t>Provisional acceptance</w:t>
      </w:r>
      <w:bookmarkEnd w:id="20"/>
    </w:p>
    <w:p w14:paraId="0177D459" w14:textId="7F3D5795" w:rsidR="00554164" w:rsidRPr="003D6B6C" w:rsidRDefault="0047783A" w:rsidP="00012D62">
      <w:pPr>
        <w:jc w:val="both"/>
        <w:rPr>
          <w:rFonts w:ascii="Times New Roman" w:hAnsi="Times New Roman"/>
          <w:sz w:val="22"/>
          <w:szCs w:val="22"/>
        </w:rPr>
      </w:pPr>
      <w:r w:rsidRPr="003D6B6C">
        <w:rPr>
          <w:rFonts w:ascii="Times New Roman" w:hAnsi="Times New Roman"/>
          <w:sz w:val="22"/>
          <w:szCs w:val="22"/>
        </w:rPr>
        <w:t xml:space="preserve">The </w:t>
      </w:r>
      <w:r w:rsidR="00F60098">
        <w:rPr>
          <w:rFonts w:ascii="Times New Roman" w:hAnsi="Times New Roman"/>
          <w:sz w:val="22"/>
          <w:szCs w:val="22"/>
        </w:rPr>
        <w:t>c</w:t>
      </w:r>
      <w:r w:rsidRPr="003D6B6C">
        <w:rPr>
          <w:rFonts w:ascii="Times New Roman" w:hAnsi="Times New Roman"/>
          <w:sz w:val="22"/>
          <w:szCs w:val="22"/>
        </w:rPr>
        <w:t xml:space="preserve">ertificate of </w:t>
      </w:r>
      <w:r w:rsidR="00F60098">
        <w:rPr>
          <w:rFonts w:ascii="Times New Roman" w:hAnsi="Times New Roman"/>
          <w:sz w:val="22"/>
          <w:szCs w:val="22"/>
        </w:rPr>
        <w:t>p</w:t>
      </w:r>
      <w:r w:rsidRPr="003D6B6C">
        <w:rPr>
          <w:rFonts w:ascii="Times New Roman" w:hAnsi="Times New Roman"/>
          <w:sz w:val="22"/>
          <w:szCs w:val="22"/>
        </w:rPr>
        <w:t xml:space="preserve">rovisional </w:t>
      </w:r>
      <w:r w:rsidR="00F60098">
        <w:rPr>
          <w:rFonts w:ascii="Times New Roman" w:hAnsi="Times New Roman"/>
          <w:sz w:val="22"/>
          <w:szCs w:val="22"/>
        </w:rPr>
        <w:t>a</w:t>
      </w:r>
      <w:r w:rsidRPr="003D6B6C">
        <w:rPr>
          <w:rFonts w:ascii="Times New Roman" w:hAnsi="Times New Roman"/>
          <w:sz w:val="22"/>
          <w:szCs w:val="22"/>
        </w:rPr>
        <w:t>cceptance must be issued using the template in Annex</w:t>
      </w:r>
      <w:r w:rsidR="001B55AC" w:rsidRPr="003D6B6C">
        <w:rPr>
          <w:rFonts w:ascii="Times New Roman" w:hAnsi="Times New Roman"/>
          <w:sz w:val="22"/>
          <w:szCs w:val="22"/>
        </w:rPr>
        <w:t> </w:t>
      </w:r>
      <w:r w:rsidR="00D8298C">
        <w:rPr>
          <w:rFonts w:ascii="Times New Roman" w:hAnsi="Times New Roman"/>
          <w:sz w:val="22"/>
          <w:szCs w:val="22"/>
        </w:rPr>
        <w:t xml:space="preserve">C11. </w:t>
      </w:r>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21" w:name="_Toc124934915"/>
      <w:r w:rsidRPr="003D6B6C">
        <w:rPr>
          <w:rFonts w:ascii="Times New Roman" w:hAnsi="Times New Roman"/>
          <w:b/>
          <w:sz w:val="24"/>
          <w:szCs w:val="24"/>
        </w:rPr>
        <w:t>Article 32</w:t>
      </w:r>
      <w:r w:rsidRPr="003D6B6C">
        <w:rPr>
          <w:rFonts w:ascii="Times New Roman" w:hAnsi="Times New Roman"/>
          <w:b/>
          <w:sz w:val="24"/>
          <w:szCs w:val="24"/>
        </w:rPr>
        <w:tab/>
        <w:t>Warranty</w:t>
      </w:r>
      <w:bookmarkEnd w:id="21"/>
      <w:r w:rsidR="00177A94" w:rsidRPr="003D6B6C">
        <w:rPr>
          <w:rFonts w:ascii="Times New Roman" w:hAnsi="Times New Roman"/>
          <w:b/>
          <w:sz w:val="24"/>
          <w:szCs w:val="24"/>
        </w:rPr>
        <w:t xml:space="preserve"> obligations</w:t>
      </w:r>
    </w:p>
    <w:p w14:paraId="4904E5A5" w14:textId="77777777" w:rsidR="00AB0D0C" w:rsidRDefault="00DF7EE0" w:rsidP="006B145B">
      <w:pPr>
        <w:ind w:left="1134" w:hanging="708"/>
        <w:jc w:val="both"/>
        <w:rPr>
          <w:rFonts w:ascii="Times New Roman" w:hAnsi="Times New Roman"/>
          <w:sz w:val="22"/>
          <w:szCs w:val="22"/>
        </w:rPr>
      </w:pPr>
      <w:r w:rsidRPr="003D6B6C">
        <w:rPr>
          <w:rFonts w:ascii="Times New Roman" w:hAnsi="Times New Roman"/>
          <w:sz w:val="22"/>
          <w:szCs w:val="22"/>
        </w:rPr>
        <w:t>32.7</w:t>
      </w:r>
      <w:r w:rsidRPr="003D6B6C">
        <w:rPr>
          <w:rFonts w:ascii="Times New Roman" w:hAnsi="Times New Roman"/>
          <w:sz w:val="22"/>
          <w:szCs w:val="22"/>
        </w:rPr>
        <w:tab/>
      </w:r>
      <w:r w:rsidR="00AB0D0C" w:rsidRPr="00AB0D0C">
        <w:rPr>
          <w:rFonts w:ascii="Times New Roman" w:hAnsi="Times New Roman"/>
          <w:sz w:val="22"/>
          <w:szCs w:val="22"/>
        </w:rPr>
        <w:t>The printers to be offered must come with a warranty of at least 2 years, while desktop computers (PCs)  must come with a warranty of at least 3 (three) years. The warranty period will begin on the date of final acceptance</w:t>
      </w:r>
    </w:p>
    <w:p w14:paraId="3218442C" w14:textId="77777777" w:rsidR="00AB0D0C" w:rsidRPr="00232598" w:rsidRDefault="00AB0D0C" w:rsidP="00AB0D0C">
      <w:pPr>
        <w:spacing w:before="240"/>
        <w:ind w:left="1134" w:hanging="1134"/>
        <w:jc w:val="both"/>
        <w:rPr>
          <w:rFonts w:ascii="Times New Roman" w:hAnsi="Times New Roman"/>
          <w:b/>
          <w:sz w:val="22"/>
          <w:szCs w:val="22"/>
        </w:rPr>
      </w:pPr>
      <w:bookmarkStart w:id="22" w:name="_Toc119839451"/>
      <w:bookmarkStart w:id="23" w:name="_Toc124934916"/>
      <w:r w:rsidRPr="00232598">
        <w:rPr>
          <w:rFonts w:ascii="Times New Roman" w:hAnsi="Times New Roman"/>
          <w:b/>
          <w:sz w:val="22"/>
          <w:szCs w:val="22"/>
        </w:rPr>
        <w:t>Article 33</w:t>
      </w:r>
      <w:r w:rsidRPr="00232598">
        <w:rPr>
          <w:rFonts w:ascii="Times New Roman" w:hAnsi="Times New Roman"/>
          <w:b/>
          <w:sz w:val="22"/>
          <w:szCs w:val="22"/>
        </w:rPr>
        <w:tab/>
        <w:t>After-sales service</w:t>
      </w:r>
      <w:bookmarkEnd w:id="22"/>
      <w:bookmarkEnd w:id="23"/>
    </w:p>
    <w:p w14:paraId="29F40DF3" w14:textId="77777777" w:rsidR="00AB0D0C" w:rsidRPr="00AB0D0C" w:rsidRDefault="00AB0D0C" w:rsidP="00AB0D0C">
      <w:pPr>
        <w:jc w:val="both"/>
        <w:rPr>
          <w:rFonts w:ascii="Times New Roman" w:hAnsi="Times New Roman"/>
          <w:sz w:val="22"/>
          <w:szCs w:val="22"/>
        </w:rPr>
      </w:pPr>
      <w:r w:rsidRPr="00AB0D0C">
        <w:rPr>
          <w:rFonts w:ascii="Times New Roman" w:hAnsi="Times New Roman"/>
          <w:sz w:val="22"/>
          <w:szCs w:val="22"/>
        </w:rPr>
        <w:t>The printers to be offered must be covered by a warranty of at least 2 years, while desktop computers (PCs)  must be covered by a warranty of at least 3 (three) years. Bidders must document this requirement in their bid documents. The warranty period shall commence on the date of final acceptance.</w:t>
      </w:r>
    </w:p>
    <w:p w14:paraId="12C7E5AB" w14:textId="77777777" w:rsidR="00AB0D0C" w:rsidRPr="00AB0D0C" w:rsidRDefault="00AB0D0C" w:rsidP="00AB0D0C">
      <w:pPr>
        <w:jc w:val="both"/>
        <w:rPr>
          <w:rFonts w:ascii="Times New Roman" w:hAnsi="Times New Roman"/>
          <w:sz w:val="22"/>
          <w:szCs w:val="22"/>
        </w:rPr>
      </w:pPr>
      <w:r w:rsidRPr="00AB0D0C">
        <w:rPr>
          <w:rFonts w:ascii="Times New Roman" w:hAnsi="Times New Roman"/>
          <w:sz w:val="22"/>
          <w:szCs w:val="22"/>
        </w:rPr>
        <w:t></w:t>
      </w:r>
      <w:r w:rsidRPr="00AB0D0C">
        <w:rPr>
          <w:rFonts w:ascii="Times New Roman" w:hAnsi="Times New Roman"/>
          <w:sz w:val="22"/>
          <w:szCs w:val="22"/>
        </w:rPr>
        <w:tab/>
      </w:r>
      <w:proofErr w:type="gramStart"/>
      <w:r w:rsidRPr="00AB0D0C">
        <w:rPr>
          <w:rFonts w:ascii="Times New Roman" w:hAnsi="Times New Roman"/>
          <w:sz w:val="22"/>
          <w:szCs w:val="22"/>
        </w:rPr>
        <w:t>For</w:t>
      </w:r>
      <w:proofErr w:type="gramEnd"/>
      <w:r w:rsidRPr="00AB0D0C">
        <w:rPr>
          <w:rFonts w:ascii="Times New Roman" w:hAnsi="Times New Roman"/>
          <w:sz w:val="22"/>
          <w:szCs w:val="22"/>
        </w:rPr>
        <w:t xml:space="preserve"> malfunctions that cannot be resolved via telephone support, intervention will be provided within a maximum of 2 (two) business days following the time of registration, and the malfunction will be resolved within a maximum of 30 (thirty) business days, including the intervention period. The contractor will provide a 5-year warranty for the supply of spare parts. Bidders shall document this matter in their bid documents</w:t>
      </w:r>
    </w:p>
    <w:p w14:paraId="19C2820D" w14:textId="77777777" w:rsidR="00AB0D0C" w:rsidRPr="00AB0D0C" w:rsidRDefault="00AB0D0C" w:rsidP="00AB0D0C">
      <w:pPr>
        <w:jc w:val="both"/>
        <w:rPr>
          <w:rFonts w:ascii="Times New Roman" w:hAnsi="Times New Roman"/>
          <w:sz w:val="22"/>
          <w:szCs w:val="22"/>
        </w:rPr>
      </w:pPr>
      <w:r w:rsidRPr="00AB0D0C">
        <w:rPr>
          <w:rFonts w:ascii="Times New Roman" w:hAnsi="Times New Roman"/>
          <w:sz w:val="22"/>
          <w:szCs w:val="22"/>
        </w:rPr>
        <w:t></w:t>
      </w:r>
      <w:r w:rsidRPr="00AB0D0C">
        <w:rPr>
          <w:rFonts w:ascii="Times New Roman" w:hAnsi="Times New Roman"/>
          <w:sz w:val="22"/>
          <w:szCs w:val="22"/>
        </w:rPr>
        <w:tab/>
        <w:t>If the defective equipment is not repaired and returned within 30 (thirty) business days from the onset of the malfunction, the Contractor shall provide the relevant unit with new, unused equipment of at least the same specifications as the defective equipment, free of charge.</w:t>
      </w:r>
    </w:p>
    <w:p w14:paraId="5603F7A6" w14:textId="77777777" w:rsidR="00AB0D0C" w:rsidRPr="00AB0D0C" w:rsidRDefault="00AB0D0C" w:rsidP="00AB0D0C">
      <w:pPr>
        <w:jc w:val="both"/>
        <w:rPr>
          <w:rFonts w:ascii="Times New Roman" w:hAnsi="Times New Roman"/>
          <w:sz w:val="22"/>
          <w:szCs w:val="22"/>
        </w:rPr>
      </w:pPr>
      <w:r w:rsidRPr="00AB0D0C">
        <w:rPr>
          <w:rFonts w:ascii="Times New Roman" w:hAnsi="Times New Roman"/>
          <w:sz w:val="22"/>
          <w:szCs w:val="22"/>
        </w:rPr>
        <w:t></w:t>
      </w:r>
      <w:r w:rsidRPr="00AB0D0C">
        <w:rPr>
          <w:rFonts w:ascii="Times New Roman" w:hAnsi="Times New Roman"/>
          <w:sz w:val="22"/>
          <w:szCs w:val="22"/>
        </w:rPr>
        <w:tab/>
      </w:r>
      <w:proofErr w:type="gramStart"/>
      <w:r w:rsidRPr="00AB0D0C">
        <w:rPr>
          <w:rFonts w:ascii="Times New Roman" w:hAnsi="Times New Roman"/>
          <w:sz w:val="22"/>
          <w:szCs w:val="22"/>
        </w:rPr>
        <w:t>During</w:t>
      </w:r>
      <w:proofErr w:type="gramEnd"/>
      <w:r w:rsidRPr="00AB0D0C">
        <w:rPr>
          <w:rFonts w:ascii="Times New Roman" w:hAnsi="Times New Roman"/>
          <w:sz w:val="22"/>
          <w:szCs w:val="22"/>
        </w:rPr>
        <w:t xml:space="preserve"> the warranty period, the contractor shall be responsible for picking up the defective device/product from the institution and delivering it back to the institution after repair. The contractor shall be liable for any additional malfunctions or damage that may occur during this process. Furthermore, the contractor shall rectify such malfunctions or damage without charging any fee. If the defective product needs to be replaced, it will be replaced with an identical unit or, with the Authority’s approval, with a higher-tier model.</w:t>
      </w:r>
    </w:p>
    <w:p w14:paraId="71408DB8" w14:textId="77777777" w:rsidR="00AB0D0C" w:rsidRPr="00AB0D0C" w:rsidRDefault="00AB0D0C" w:rsidP="00AB0D0C">
      <w:pPr>
        <w:jc w:val="both"/>
        <w:rPr>
          <w:rFonts w:ascii="Times New Roman" w:hAnsi="Times New Roman"/>
          <w:sz w:val="22"/>
          <w:szCs w:val="22"/>
        </w:rPr>
      </w:pPr>
      <w:r w:rsidRPr="00AB0D0C">
        <w:rPr>
          <w:rFonts w:ascii="Times New Roman" w:hAnsi="Times New Roman"/>
          <w:sz w:val="22"/>
          <w:szCs w:val="22"/>
        </w:rPr>
        <w:t></w:t>
      </w:r>
      <w:r w:rsidRPr="00AB0D0C">
        <w:rPr>
          <w:rFonts w:ascii="Times New Roman" w:hAnsi="Times New Roman"/>
          <w:sz w:val="22"/>
          <w:szCs w:val="22"/>
        </w:rPr>
        <w:tab/>
      </w:r>
      <w:proofErr w:type="gramStart"/>
      <w:r w:rsidRPr="00AB0D0C">
        <w:rPr>
          <w:rFonts w:ascii="Times New Roman" w:hAnsi="Times New Roman"/>
          <w:sz w:val="22"/>
          <w:szCs w:val="22"/>
        </w:rPr>
        <w:t>The</w:t>
      </w:r>
      <w:proofErr w:type="gramEnd"/>
      <w:r w:rsidRPr="00AB0D0C">
        <w:rPr>
          <w:rFonts w:ascii="Times New Roman" w:hAnsi="Times New Roman"/>
          <w:sz w:val="22"/>
          <w:szCs w:val="22"/>
        </w:rPr>
        <w:t xml:space="preserve"> warranty period will begin upon the inspection and acceptance of each hardware group.</w:t>
      </w:r>
    </w:p>
    <w:p w14:paraId="6300CFA8" w14:textId="5489B3B2" w:rsidR="00AB0D0C" w:rsidRPr="003D6B6C" w:rsidRDefault="00AB0D0C" w:rsidP="00AB0D0C">
      <w:pPr>
        <w:jc w:val="both"/>
        <w:rPr>
          <w:rFonts w:ascii="Times New Roman" w:hAnsi="Times New Roman"/>
          <w:sz w:val="22"/>
          <w:szCs w:val="22"/>
        </w:rPr>
      </w:pPr>
      <w:r w:rsidRPr="00AB0D0C">
        <w:rPr>
          <w:rFonts w:ascii="Times New Roman" w:hAnsi="Times New Roman"/>
          <w:sz w:val="22"/>
          <w:szCs w:val="22"/>
        </w:rPr>
        <w:t></w:t>
      </w:r>
      <w:r w:rsidRPr="00AB0D0C">
        <w:rPr>
          <w:rFonts w:ascii="Times New Roman" w:hAnsi="Times New Roman"/>
          <w:sz w:val="22"/>
          <w:szCs w:val="22"/>
        </w:rPr>
        <w:tab/>
      </w:r>
      <w:proofErr w:type="gramStart"/>
      <w:r w:rsidRPr="00AB0D0C">
        <w:rPr>
          <w:rFonts w:ascii="Times New Roman" w:hAnsi="Times New Roman"/>
          <w:sz w:val="22"/>
          <w:szCs w:val="22"/>
        </w:rPr>
        <w:t>The</w:t>
      </w:r>
      <w:proofErr w:type="gramEnd"/>
      <w:r w:rsidRPr="00AB0D0C">
        <w:rPr>
          <w:rFonts w:ascii="Times New Roman" w:hAnsi="Times New Roman"/>
          <w:sz w:val="22"/>
          <w:szCs w:val="22"/>
        </w:rPr>
        <w:t xml:space="preserve"> contractor shall provide a performance guarantee equal to 6% of the contract price prior to the execution of the contract. In the event of any deficiencies in the services to be provided by the Contractor regarding the post-warranty services specified in the tender documentation, a deduction will be made from the performance bond.</w:t>
      </w:r>
    </w:p>
    <w:p w14:paraId="50D93971" w14:textId="2CD1CB36" w:rsidR="00012D62" w:rsidRPr="00CE64D0" w:rsidRDefault="0047783A" w:rsidP="00CE64D0">
      <w:pPr>
        <w:spacing w:before="240"/>
        <w:ind w:left="1134" w:hanging="1134"/>
        <w:jc w:val="both"/>
        <w:rPr>
          <w:rFonts w:ascii="Times New Roman" w:hAnsi="Times New Roman"/>
          <w:b/>
          <w:sz w:val="24"/>
          <w:szCs w:val="24"/>
        </w:rPr>
      </w:pPr>
      <w:bookmarkStart w:id="24" w:name="_Toc124934917"/>
      <w:r w:rsidRPr="003D6B6C">
        <w:rPr>
          <w:rFonts w:ascii="Times New Roman" w:hAnsi="Times New Roman"/>
          <w:b/>
          <w:sz w:val="24"/>
          <w:szCs w:val="24"/>
        </w:rPr>
        <w:t>Article 40</w:t>
      </w:r>
      <w:r w:rsidR="00EB45CB" w:rsidRPr="003D6B6C">
        <w:rPr>
          <w:rFonts w:ascii="Times New Roman" w:hAnsi="Times New Roman"/>
          <w:b/>
          <w:sz w:val="24"/>
          <w:szCs w:val="24"/>
        </w:rPr>
        <w:tab/>
      </w:r>
      <w:r w:rsidRPr="003D6B6C">
        <w:rPr>
          <w:rFonts w:ascii="Times New Roman" w:hAnsi="Times New Roman"/>
          <w:b/>
          <w:sz w:val="24"/>
          <w:szCs w:val="24"/>
        </w:rPr>
        <w:t>Settlement of disputes</w:t>
      </w:r>
      <w:bookmarkEnd w:id="24"/>
    </w:p>
    <w:p w14:paraId="689019A8" w14:textId="67C2A019" w:rsidR="00C01E30" w:rsidRPr="00CE64D0" w:rsidRDefault="0047783A" w:rsidP="00CE64D0">
      <w:pPr>
        <w:ind w:left="1134" w:hanging="708"/>
        <w:jc w:val="both"/>
        <w:rPr>
          <w:rFonts w:ascii="Times New Roman" w:hAnsi="Times New Roman"/>
          <w:sz w:val="22"/>
          <w:szCs w:val="22"/>
        </w:rPr>
      </w:pPr>
      <w:r w:rsidRPr="003D6B6C">
        <w:rPr>
          <w:rFonts w:ascii="Times New Roman" w:hAnsi="Times New Roman"/>
          <w:sz w:val="22"/>
          <w:szCs w:val="22"/>
        </w:rPr>
        <w:t>40.</w:t>
      </w:r>
      <w:r w:rsidR="00D83918" w:rsidRPr="003D6B6C">
        <w:rPr>
          <w:rFonts w:ascii="Times New Roman" w:hAnsi="Times New Roman"/>
          <w:sz w:val="22"/>
          <w:szCs w:val="22"/>
        </w:rPr>
        <w:t>4</w:t>
      </w:r>
      <w:r w:rsidRPr="003D6B6C">
        <w:rPr>
          <w:rFonts w:ascii="Times New Roman" w:hAnsi="Times New Roman"/>
          <w:sz w:val="22"/>
          <w:szCs w:val="22"/>
        </w:rPr>
        <w:tab/>
      </w:r>
      <w:r w:rsidR="00012D62" w:rsidRPr="00D95C54">
        <w:rPr>
          <w:rFonts w:ascii="Times New Roman" w:hAnsi="Times New Roman"/>
          <w:sz w:val="22"/>
          <w:szCs w:val="22"/>
        </w:rPr>
        <w:t>Any disputes arising out of or relating to this contract which cannot be settled otherwise shall be referred to the exclusive jurisdiction of national legislation in accordance with the national legislation of the state of the contracting authority.</w:t>
      </w:r>
      <w:r w:rsidR="00012D62">
        <w:rPr>
          <w:rFonts w:ascii="Times New Roman" w:hAnsi="Times New Roman"/>
          <w:sz w:val="22"/>
          <w:szCs w:val="22"/>
        </w:rPr>
        <w:t xml:space="preserve"> </w:t>
      </w:r>
    </w:p>
    <w:p w14:paraId="53F35545" w14:textId="1C0D7E49" w:rsidR="00407C90" w:rsidRPr="005E3A18" w:rsidRDefault="00407C90" w:rsidP="00B5440B">
      <w:pPr>
        <w:keepNext/>
        <w:keepLines/>
        <w:tabs>
          <w:tab w:val="left" w:pos="1134"/>
        </w:tabs>
        <w:spacing w:before="240" w:after="0"/>
        <w:ind w:left="1134" w:hanging="1134"/>
        <w:rPr>
          <w:rFonts w:ascii="Times New Roman" w:hAnsi="Times New Roman"/>
          <w:b/>
          <w:sz w:val="24"/>
          <w:szCs w:val="24"/>
        </w:rPr>
      </w:pPr>
      <w:r w:rsidRPr="005E3A18">
        <w:rPr>
          <w:rFonts w:ascii="Times New Roman" w:hAnsi="Times New Roman"/>
          <w:b/>
          <w:sz w:val="24"/>
          <w:szCs w:val="24"/>
        </w:rPr>
        <w:lastRenderedPageBreak/>
        <w:t>Article 44</w:t>
      </w:r>
      <w:r w:rsidRPr="005E3A18">
        <w:rPr>
          <w:rFonts w:ascii="Times New Roman" w:hAnsi="Times New Roman"/>
          <w:b/>
          <w:sz w:val="24"/>
          <w:szCs w:val="24"/>
        </w:rPr>
        <w:tab/>
        <w:t xml:space="preserve">Data </w:t>
      </w:r>
      <w:r w:rsidR="00686E07" w:rsidRPr="005E3A18">
        <w:rPr>
          <w:rFonts w:ascii="Times New Roman" w:hAnsi="Times New Roman"/>
          <w:b/>
          <w:sz w:val="24"/>
          <w:szCs w:val="24"/>
        </w:rPr>
        <w:t>p</w:t>
      </w:r>
      <w:r w:rsidRPr="005E3A18">
        <w:rPr>
          <w:rFonts w:ascii="Times New Roman" w:hAnsi="Times New Roman"/>
          <w:b/>
          <w:sz w:val="24"/>
          <w:szCs w:val="24"/>
        </w:rPr>
        <w:t>rotection</w:t>
      </w:r>
    </w:p>
    <w:p w14:paraId="21A6D968" w14:textId="728FA3B9" w:rsidR="00C05EBE" w:rsidRPr="00156486" w:rsidRDefault="00156486" w:rsidP="00C05EBE">
      <w:pPr>
        <w:jc w:val="both"/>
        <w:rPr>
          <w:rFonts w:ascii="Times New Roman" w:hAnsi="Times New Roman"/>
          <w:sz w:val="22"/>
          <w:szCs w:val="22"/>
        </w:rPr>
      </w:pPr>
      <w:r w:rsidRPr="00B5440B">
        <w:rPr>
          <w:rFonts w:ascii="Times New Roman" w:hAnsi="Times New Roman"/>
          <w:sz w:val="22"/>
          <w:szCs w:val="22"/>
        </w:rPr>
        <w:t xml:space="preserve"> </w:t>
      </w:r>
      <w:r w:rsidR="00C05EBE" w:rsidRPr="00B5440B">
        <w:rPr>
          <w:rFonts w:ascii="Times New Roman" w:hAnsi="Times New Roman"/>
          <w:sz w:val="22"/>
          <w:szCs w:val="22"/>
        </w:rPr>
        <w:t>For the purpose of</w:t>
      </w:r>
      <w:r w:rsidR="00C05EBE" w:rsidRPr="00B5440B">
        <w:rPr>
          <w:rFonts w:ascii="Times New Roman" w:hAnsi="Times New Roman"/>
          <w:color w:val="0000FF"/>
          <w:sz w:val="22"/>
          <w:szCs w:val="22"/>
          <w:u w:val="single"/>
        </w:rPr>
        <w:t xml:space="preserve"> </w:t>
      </w:r>
      <w:r w:rsidR="00C05EBE" w:rsidRPr="00B5440B">
        <w:rPr>
          <w:rFonts w:ascii="Times New Roman" w:hAnsi="Times New Roman"/>
          <w:sz w:val="22"/>
          <w:szCs w:val="22"/>
          <w:lang w:eastAsia="en-GB"/>
        </w:rPr>
        <w:t xml:space="preserve">Article 44 of the </w:t>
      </w:r>
      <w:r w:rsidR="00C05EBE" w:rsidRPr="00156486">
        <w:rPr>
          <w:rFonts w:ascii="Times New Roman" w:hAnsi="Times New Roman"/>
          <w:sz w:val="22"/>
          <w:szCs w:val="22"/>
        </w:rPr>
        <w:t>general conditions, for the part of the data transferred by the contracting authority to the European Commission:</w:t>
      </w:r>
    </w:p>
    <w:p w14:paraId="18EF332A" w14:textId="53D1BD65" w:rsidR="00C05EBE" w:rsidRPr="00B5440B" w:rsidRDefault="00C05EBE" w:rsidP="00B5440B">
      <w:pPr>
        <w:ind w:left="426"/>
        <w:jc w:val="both"/>
        <w:rPr>
          <w:rFonts w:ascii="Times New Roman" w:hAnsi="Times New Roman"/>
          <w:sz w:val="22"/>
          <w:szCs w:val="22"/>
        </w:rPr>
      </w:pPr>
      <w:r w:rsidRPr="00156486">
        <w:rPr>
          <w:rFonts w:ascii="Times New Roman" w:hAnsi="Times New Roman"/>
          <w:sz w:val="22"/>
          <w:szCs w:val="22"/>
        </w:rPr>
        <w:t>(a)</w:t>
      </w:r>
      <w:r w:rsidR="005A123C" w:rsidRPr="00156486">
        <w:rPr>
          <w:rFonts w:ascii="Times New Roman" w:hAnsi="Times New Roman"/>
          <w:sz w:val="22"/>
          <w:szCs w:val="22"/>
        </w:rPr>
        <w:tab/>
      </w:r>
      <w:proofErr w:type="gramStart"/>
      <w:r w:rsidRPr="00156486">
        <w:rPr>
          <w:rFonts w:ascii="Times New Roman" w:hAnsi="Times New Roman"/>
          <w:sz w:val="22"/>
          <w:szCs w:val="22"/>
        </w:rPr>
        <w:t>the</w:t>
      </w:r>
      <w:proofErr w:type="gramEnd"/>
      <w:r w:rsidRPr="00156486">
        <w:rPr>
          <w:rFonts w:ascii="Times New Roman" w:hAnsi="Times New Roman"/>
          <w:sz w:val="22"/>
          <w:szCs w:val="22"/>
        </w:rPr>
        <w:t xml:space="preserve"> controller for the processing of personal data carried out within the Commission is</w:t>
      </w:r>
    </w:p>
    <w:p w14:paraId="7EE57030" w14:textId="49723C7D" w:rsidR="00C05EBE" w:rsidRPr="00B5440B" w:rsidRDefault="00C05EBE" w:rsidP="00B5440B">
      <w:pPr>
        <w:ind w:left="709"/>
        <w:jc w:val="both"/>
        <w:rPr>
          <w:rFonts w:ascii="Times New Roman" w:hAnsi="Times New Roman"/>
          <w:sz w:val="22"/>
          <w:szCs w:val="22"/>
        </w:rPr>
      </w:pPr>
      <w:r w:rsidRPr="00156486">
        <w:rPr>
          <w:rFonts w:ascii="Times New Roman" w:hAnsi="Times New Roman"/>
          <w:sz w:val="22"/>
          <w:szCs w:val="22"/>
        </w:rPr>
        <w:t>For DG NEAR the head of contracts and finance unit R4 of DG Neighbourhood and Enlargement Negotiations</w:t>
      </w:r>
      <w:r w:rsidR="00156486">
        <w:rPr>
          <w:rFonts w:ascii="Times New Roman" w:hAnsi="Times New Roman"/>
          <w:sz w:val="22"/>
          <w:szCs w:val="22"/>
        </w:rPr>
        <w:t>.</w:t>
      </w:r>
    </w:p>
    <w:p w14:paraId="4CB26B0B" w14:textId="16155D9D" w:rsidR="00C05EBE" w:rsidRPr="0051770F" w:rsidRDefault="00C05EBE" w:rsidP="00B5440B">
      <w:pPr>
        <w:spacing w:before="100" w:beforeAutospacing="1" w:after="100" w:afterAutospacing="1"/>
        <w:ind w:left="709" w:hanging="425"/>
        <w:rPr>
          <w:rFonts w:ascii="Times New Roman" w:hAnsi="Times New Roman"/>
          <w:color w:val="0563C1"/>
          <w:sz w:val="22"/>
          <w:szCs w:val="22"/>
          <w:u w:val="single"/>
          <w:lang w:val="sv-SE"/>
        </w:rPr>
      </w:pPr>
      <w:r w:rsidRPr="00B5440B">
        <w:rPr>
          <w:rFonts w:ascii="Times New Roman" w:hAnsi="Times New Roman"/>
          <w:sz w:val="22"/>
          <w:szCs w:val="22"/>
        </w:rPr>
        <w:t>(</w:t>
      </w:r>
      <w:proofErr w:type="gramStart"/>
      <w:r w:rsidRPr="00B5440B">
        <w:rPr>
          <w:rFonts w:ascii="Times New Roman" w:hAnsi="Times New Roman"/>
          <w:sz w:val="22"/>
          <w:szCs w:val="22"/>
        </w:rPr>
        <w:t>b</w:t>
      </w:r>
      <w:proofErr w:type="gramEnd"/>
      <w:r w:rsidRPr="00B5440B">
        <w:rPr>
          <w:rFonts w:ascii="Times New Roman" w:hAnsi="Times New Roman"/>
          <w:sz w:val="22"/>
          <w:szCs w:val="22"/>
        </w:rPr>
        <w:t>)</w:t>
      </w:r>
      <w:r w:rsidR="005A123C" w:rsidRPr="00B5440B">
        <w:rPr>
          <w:rFonts w:ascii="Times New Roman" w:hAnsi="Times New Roman"/>
          <w:sz w:val="22"/>
          <w:szCs w:val="22"/>
        </w:rPr>
        <w:tab/>
      </w:r>
      <w:r w:rsidRPr="00B5440B">
        <w:rPr>
          <w:rFonts w:ascii="Times New Roman" w:hAnsi="Times New Roman"/>
          <w:sz w:val="22"/>
          <w:szCs w:val="22"/>
          <w:lang w:eastAsia="en-GB"/>
        </w:rPr>
        <w:t xml:space="preserve">the </w:t>
      </w:r>
      <w:r w:rsidR="00830347" w:rsidRPr="00830347">
        <w:rPr>
          <w:rFonts w:ascii="Times New Roman" w:hAnsi="Times New Roman"/>
          <w:sz w:val="22"/>
          <w:szCs w:val="22"/>
          <w:lang w:eastAsia="en-GB"/>
        </w:rPr>
        <w:t>privacy statement</w:t>
      </w:r>
      <w:r w:rsidR="00830347">
        <w:rPr>
          <w:rFonts w:ascii="Times New Roman" w:hAnsi="Times New Roman"/>
          <w:sz w:val="22"/>
          <w:szCs w:val="22"/>
          <w:lang w:eastAsia="en-GB"/>
        </w:rPr>
        <w:t xml:space="preserve"> </w:t>
      </w:r>
      <w:r w:rsidRPr="00B5440B">
        <w:rPr>
          <w:rFonts w:ascii="Times New Roman" w:hAnsi="Times New Roman"/>
          <w:sz w:val="22"/>
          <w:szCs w:val="22"/>
          <w:lang w:eastAsia="en-GB"/>
        </w:rPr>
        <w:t>is available at</w:t>
      </w:r>
      <w:r w:rsidRPr="00C05EBE">
        <w:rPr>
          <w:rFonts w:ascii="Times New Roman" w:hAnsi="Times New Roman"/>
          <w:sz w:val="22"/>
          <w:szCs w:val="22"/>
          <w:lang w:val="sv-SE"/>
        </w:rPr>
        <w:t xml:space="preserve"> </w:t>
      </w:r>
      <w:hyperlink r:id="rId13" w:anchor="Annexes-AnnexesA(Ch.2):General" w:history="1">
        <w:r w:rsidRPr="00C05EBE">
          <w:rPr>
            <w:rFonts w:ascii="Times New Roman" w:hAnsi="Times New Roman"/>
            <w:color w:val="0000FF"/>
            <w:sz w:val="22"/>
            <w:szCs w:val="22"/>
            <w:u w:val="single"/>
            <w:lang w:val="sv-SE"/>
          </w:rPr>
          <w:t>https://wikis.ec.europa.eu/display/ExactExternalWiki/Annexes#Annexes-AnnexesA(Ch.2):General</w:t>
        </w:r>
      </w:hyperlink>
      <w:r w:rsidR="0043240C">
        <w:rPr>
          <w:rFonts w:ascii="Times New Roman" w:hAnsi="Times New Roman"/>
          <w:color w:val="0000FF"/>
          <w:sz w:val="22"/>
          <w:szCs w:val="22"/>
          <w:u w:val="single"/>
          <w:lang w:val="sv-SE"/>
        </w:rPr>
        <w:t>]</w:t>
      </w:r>
    </w:p>
    <w:p w14:paraId="5F3FDACE" w14:textId="75DC28B3" w:rsidR="009F7E6A" w:rsidRPr="00156486" w:rsidRDefault="009F7E6A" w:rsidP="00B5440B">
      <w:pPr>
        <w:ind w:left="567" w:hanging="567"/>
        <w:jc w:val="both"/>
        <w:rPr>
          <w:rFonts w:ascii="Times New Roman" w:hAnsi="Times New Roman"/>
          <w:sz w:val="22"/>
          <w:szCs w:val="22"/>
        </w:rPr>
      </w:pPr>
      <w:r w:rsidRPr="00156486">
        <w:rPr>
          <w:rFonts w:ascii="Times New Roman" w:hAnsi="Times New Roman"/>
          <w:sz w:val="22"/>
          <w:szCs w:val="22"/>
        </w:rPr>
        <w:t>1.</w:t>
      </w:r>
      <w:r w:rsidR="005A123C" w:rsidRPr="00156486">
        <w:rPr>
          <w:rFonts w:ascii="Times New Roman" w:hAnsi="Times New Roman"/>
          <w:sz w:val="22"/>
          <w:szCs w:val="22"/>
        </w:rPr>
        <w:tab/>
      </w:r>
      <w:r w:rsidRPr="00156486">
        <w:rPr>
          <w:rFonts w:ascii="Times New Roman" w:hAnsi="Times New Roman"/>
          <w:sz w:val="22"/>
          <w:szCs w:val="22"/>
        </w:rPr>
        <w:t>Processing of personal data related to the implementation of the contract by the contracting authority takes place in accordance with the national legislation of the state of the contracting authority and with the provisions of the respective financing agreement.</w:t>
      </w:r>
    </w:p>
    <w:p w14:paraId="2FB9F325" w14:textId="1DB3F937" w:rsidR="009F7E6A" w:rsidRPr="00F4288C" w:rsidRDefault="009F7E6A" w:rsidP="00B5440B">
      <w:pPr>
        <w:ind w:left="567" w:hanging="567"/>
        <w:jc w:val="both"/>
        <w:rPr>
          <w:rFonts w:ascii="Times New Roman" w:hAnsi="Times New Roman"/>
          <w:sz w:val="22"/>
          <w:szCs w:val="22"/>
          <w:u w:val="single"/>
        </w:rPr>
      </w:pPr>
      <w:r w:rsidRPr="00156486">
        <w:rPr>
          <w:rFonts w:ascii="Times New Roman" w:hAnsi="Times New Roman"/>
          <w:sz w:val="22"/>
          <w:szCs w:val="22"/>
        </w:rPr>
        <w:t>2.</w:t>
      </w:r>
      <w:r w:rsidR="005A123C" w:rsidRPr="00156486">
        <w:rPr>
          <w:rFonts w:ascii="Times New Roman" w:hAnsi="Times New Roman"/>
          <w:sz w:val="22"/>
          <w:szCs w:val="22"/>
        </w:rPr>
        <w:tab/>
      </w:r>
      <w:r w:rsidRPr="00156486">
        <w:rPr>
          <w:rFonts w:ascii="Times New Roman" w:hAnsi="Times New Roman"/>
          <w:sz w:val="22"/>
          <w:szCs w:val="22"/>
        </w:rPr>
        <w:t xml:space="preserve">To the extent that the contract covers an action financed by the European Union, the Contracting Authority may share communications related to the implementation of the contract, with the European Commission. These exchanges shall be made to the Commission, solely for the purpose of allowing the latter to exercise its rights and obligations under the applicable legislative framework and under the financing agreement with the Partner country – contracting authority. The exchanges may involve transfers of personal data (such as names, contact details, signatures and CVs) of natural persons involved in the implementation of the contract (such as contractors, </w:t>
      </w:r>
      <w:r w:rsidR="00983FDE" w:rsidRPr="00156486">
        <w:rPr>
          <w:rFonts w:ascii="Times New Roman" w:hAnsi="Times New Roman"/>
          <w:sz w:val="22"/>
          <w:szCs w:val="22"/>
        </w:rPr>
        <w:t>personnel</w:t>
      </w:r>
      <w:r w:rsidRPr="00156486">
        <w:rPr>
          <w:rFonts w:ascii="Times New Roman" w:hAnsi="Times New Roman"/>
          <w:sz w:val="22"/>
          <w:szCs w:val="22"/>
        </w:rPr>
        <w:t>, experts, trainees, subcontractors, insurers, guarantors, auditors and legal counsel). In cases where the contractor is processing personal data in the context of the implementation of the contract, he/she shall accordingly inform the data subjects of the possible transmission of their data to the Commission. When personal data is transmitted to the Commission, the latter processes them in accordance with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156486">
        <w:rPr>
          <w:rStyle w:val="DipnotBavurusu"/>
          <w:rFonts w:ascii="Times New Roman" w:hAnsi="Times New Roman"/>
          <w:sz w:val="22"/>
          <w:szCs w:val="22"/>
        </w:rPr>
        <w:footnoteReference w:id="1"/>
      </w:r>
      <w:r w:rsidRPr="00156486">
        <w:rPr>
          <w:rFonts w:ascii="Times New Roman" w:hAnsi="Times New Roman"/>
          <w:sz w:val="22"/>
          <w:szCs w:val="22"/>
        </w:rPr>
        <w:t xml:space="preserve"> and as detailed in the specific privacy statement published at </w:t>
      </w:r>
      <w:proofErr w:type="spellStart"/>
      <w:r w:rsidRPr="00156486">
        <w:rPr>
          <w:rFonts w:ascii="Times New Roman" w:hAnsi="Times New Roman"/>
          <w:sz w:val="22"/>
          <w:szCs w:val="22"/>
        </w:rPr>
        <w:t>ePRAG</w:t>
      </w:r>
      <w:proofErr w:type="spellEnd"/>
      <w:r w:rsidRPr="00156486">
        <w:rPr>
          <w:rFonts w:ascii="Times New Roman" w:hAnsi="Times New Roman"/>
          <w:sz w:val="22"/>
          <w:szCs w:val="22"/>
        </w:rPr>
        <w:t>.</w:t>
      </w:r>
    </w:p>
    <w:p w14:paraId="016C5FE5" w14:textId="50CE9D6A" w:rsidR="001B55AC" w:rsidRPr="003D6B6C" w:rsidRDefault="001B55AC" w:rsidP="00CE64D0">
      <w:pPr>
        <w:pStyle w:val="ListeNumaras"/>
        <w:numPr>
          <w:ilvl w:val="0"/>
          <w:numId w:val="0"/>
        </w:numPr>
        <w:spacing w:before="360" w:after="100" w:afterAutospacing="1"/>
        <w:rPr>
          <w:sz w:val="22"/>
          <w:szCs w:val="22"/>
        </w:rPr>
      </w:pPr>
    </w:p>
    <w:sectPr w:rsidR="001B55AC" w:rsidRPr="003D6B6C" w:rsidSect="00B5440B">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DD8C42" w14:textId="77777777" w:rsidR="00D5103C" w:rsidRPr="006A5F84" w:rsidRDefault="00D5103C">
      <w:r w:rsidRPr="006A5F84">
        <w:separator/>
      </w:r>
    </w:p>
  </w:endnote>
  <w:endnote w:type="continuationSeparator" w:id="0">
    <w:p w14:paraId="0DAFA7EF" w14:textId="77777777" w:rsidR="00D5103C" w:rsidRPr="006A5F84" w:rsidRDefault="00D5103C">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3F24C" w14:textId="77777777" w:rsidR="00117ADA" w:rsidRDefault="00117ADA" w:rsidP="0047783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43E34293" w14:textId="77777777" w:rsidR="00117ADA" w:rsidRDefault="00117ADA" w:rsidP="0047783A">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D2995" w14:textId="5E2E6F93" w:rsidR="007E36E3" w:rsidRPr="00FE689C" w:rsidRDefault="00CA1E77" w:rsidP="007E36E3">
    <w:pPr>
      <w:pStyle w:val="AltBilgi"/>
      <w:tabs>
        <w:tab w:val="clear" w:pos="4320"/>
        <w:tab w:val="clear" w:pos="8640"/>
        <w:tab w:val="right" w:pos="8647"/>
      </w:tabs>
      <w:spacing w:after="0"/>
      <w:ind w:right="6"/>
      <w:rPr>
        <w:rStyle w:val="SayfaNumaras"/>
        <w:rFonts w:ascii="Times New Roman" w:hAnsi="Times New Roman"/>
        <w:sz w:val="18"/>
        <w:szCs w:val="18"/>
        <w:lang w:val="en-GB"/>
      </w:rPr>
    </w:pPr>
    <w:r>
      <w:rPr>
        <w:rFonts w:ascii="Times New Roman" w:hAnsi="Times New Roman"/>
        <w:b/>
        <w:sz w:val="18"/>
        <w:lang w:val="en-GB"/>
      </w:rPr>
      <w:t>202</w:t>
    </w:r>
    <w:r w:rsidR="00C84FFB">
      <w:rPr>
        <w:rFonts w:ascii="Times New Roman" w:hAnsi="Times New Roman"/>
        <w:b/>
        <w:sz w:val="18"/>
        <w:lang w:val="en-GB"/>
      </w:rPr>
      <w:t>5</w:t>
    </w:r>
    <w:r w:rsidR="007E36E3" w:rsidRPr="00FE689C">
      <w:rPr>
        <w:rFonts w:ascii="Times New Roman" w:hAnsi="Times New Roman"/>
        <w:sz w:val="18"/>
        <w:szCs w:val="18"/>
        <w:lang w:val="en-GB"/>
      </w:rPr>
      <w:tab/>
    </w:r>
    <w:r w:rsidR="007E36E3" w:rsidRPr="00FE689C">
      <w:rPr>
        <w:rStyle w:val="SayfaNumaras"/>
        <w:rFonts w:ascii="Times New Roman" w:hAnsi="Times New Roman"/>
        <w:sz w:val="18"/>
        <w:szCs w:val="18"/>
        <w:lang w:val="en-GB"/>
      </w:rPr>
      <w:t xml:space="preserve">Page </w:t>
    </w:r>
    <w:r w:rsidR="007E36E3" w:rsidRPr="009423FB">
      <w:rPr>
        <w:rStyle w:val="SayfaNumaras"/>
        <w:rFonts w:ascii="Times New Roman" w:hAnsi="Times New Roman"/>
        <w:sz w:val="18"/>
        <w:szCs w:val="18"/>
      </w:rPr>
      <w:fldChar w:fldCharType="begin"/>
    </w:r>
    <w:r w:rsidR="007E36E3" w:rsidRPr="00FE689C">
      <w:rPr>
        <w:rStyle w:val="SayfaNumaras"/>
        <w:rFonts w:ascii="Times New Roman" w:hAnsi="Times New Roman"/>
        <w:sz w:val="18"/>
        <w:szCs w:val="18"/>
        <w:lang w:val="en-GB"/>
      </w:rPr>
      <w:instrText xml:space="preserve"> PAGE </w:instrText>
    </w:r>
    <w:r w:rsidR="007E36E3" w:rsidRPr="009423FB">
      <w:rPr>
        <w:rStyle w:val="SayfaNumaras"/>
        <w:rFonts w:ascii="Times New Roman" w:hAnsi="Times New Roman"/>
        <w:sz w:val="18"/>
        <w:szCs w:val="18"/>
      </w:rPr>
      <w:fldChar w:fldCharType="separate"/>
    </w:r>
    <w:r w:rsidR="000204BF">
      <w:rPr>
        <w:rStyle w:val="SayfaNumaras"/>
        <w:rFonts w:ascii="Times New Roman" w:hAnsi="Times New Roman"/>
        <w:noProof/>
        <w:sz w:val="18"/>
        <w:szCs w:val="18"/>
        <w:lang w:val="en-GB"/>
      </w:rPr>
      <w:t>7</w:t>
    </w:r>
    <w:r w:rsidR="007E36E3" w:rsidRPr="009423FB">
      <w:rPr>
        <w:rStyle w:val="SayfaNumaras"/>
        <w:rFonts w:ascii="Times New Roman" w:hAnsi="Times New Roman"/>
        <w:sz w:val="18"/>
        <w:szCs w:val="18"/>
      </w:rPr>
      <w:fldChar w:fldCharType="end"/>
    </w:r>
    <w:r w:rsidR="007E36E3" w:rsidRPr="00FE689C">
      <w:rPr>
        <w:rStyle w:val="SayfaNumaras"/>
        <w:rFonts w:ascii="Times New Roman" w:hAnsi="Times New Roman"/>
        <w:sz w:val="18"/>
        <w:szCs w:val="18"/>
        <w:lang w:val="en-GB"/>
      </w:rPr>
      <w:t xml:space="preserve"> of </w:t>
    </w:r>
    <w:r w:rsidR="007E36E3" w:rsidRPr="009423FB">
      <w:rPr>
        <w:rStyle w:val="SayfaNumaras"/>
        <w:rFonts w:ascii="Times New Roman" w:hAnsi="Times New Roman"/>
        <w:sz w:val="18"/>
        <w:szCs w:val="18"/>
      </w:rPr>
      <w:fldChar w:fldCharType="begin"/>
    </w:r>
    <w:r w:rsidR="007E36E3" w:rsidRPr="00FE689C">
      <w:rPr>
        <w:rStyle w:val="SayfaNumaras"/>
        <w:rFonts w:ascii="Times New Roman" w:hAnsi="Times New Roman"/>
        <w:sz w:val="18"/>
        <w:szCs w:val="18"/>
        <w:lang w:val="en-GB"/>
      </w:rPr>
      <w:instrText xml:space="preserve"> NUMPAGES </w:instrText>
    </w:r>
    <w:r w:rsidR="007E36E3" w:rsidRPr="009423FB">
      <w:rPr>
        <w:rStyle w:val="SayfaNumaras"/>
        <w:rFonts w:ascii="Times New Roman" w:hAnsi="Times New Roman"/>
        <w:sz w:val="18"/>
        <w:szCs w:val="18"/>
      </w:rPr>
      <w:fldChar w:fldCharType="separate"/>
    </w:r>
    <w:r w:rsidR="000204BF">
      <w:rPr>
        <w:rStyle w:val="SayfaNumaras"/>
        <w:rFonts w:ascii="Times New Roman" w:hAnsi="Times New Roman"/>
        <w:noProof/>
        <w:sz w:val="18"/>
        <w:szCs w:val="18"/>
        <w:lang w:val="en-GB"/>
      </w:rPr>
      <w:t>7</w:t>
    </w:r>
    <w:r w:rsidR="007E36E3" w:rsidRPr="009423FB">
      <w:rPr>
        <w:rStyle w:val="SayfaNumaras"/>
        <w:rFonts w:ascii="Times New Roman" w:hAnsi="Times New Roman"/>
        <w:sz w:val="18"/>
        <w:szCs w:val="18"/>
      </w:rPr>
      <w:fldChar w:fldCharType="end"/>
    </w:r>
  </w:p>
  <w:p w14:paraId="32214240" w14:textId="269F0A18" w:rsidR="00117ADA" w:rsidRPr="007E36E3" w:rsidRDefault="008E007A" w:rsidP="008E007A">
    <w:pPr>
      <w:spacing w:before="0" w:after="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B5440B">
      <w:rPr>
        <w:rFonts w:ascii="Times New Roman" w:hAnsi="Times New Roman"/>
        <w:noProof/>
        <w:sz w:val="18"/>
        <w:szCs w:val="18"/>
      </w:rPr>
      <w:t>c4d_specialconditions_en.docx</w:t>
    </w:r>
    <w:r>
      <w:rPr>
        <w:rFonts w:ascii="Times New Roman" w:hAnsi="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F36AF" w14:textId="77777777" w:rsidR="00117ADA" w:rsidRPr="006A5F84" w:rsidRDefault="00117ADA" w:rsidP="0047783A">
    <w:pPr>
      <w:pStyle w:val="AltBilgi"/>
      <w:framePr w:wrap="around" w:vAnchor="text" w:hAnchor="margin" w:xAlign="right" w:y="1"/>
      <w:rPr>
        <w:rStyle w:val="SayfaNumaras"/>
      </w:rPr>
    </w:pPr>
    <w:r w:rsidRPr="006A5F84">
      <w:rPr>
        <w:rStyle w:val="SayfaNumaras"/>
      </w:rPr>
      <w:fldChar w:fldCharType="begin"/>
    </w:r>
    <w:r w:rsidRPr="006A5F84">
      <w:rPr>
        <w:rStyle w:val="SayfaNumaras"/>
      </w:rPr>
      <w:instrText xml:space="preserve">PAGE  </w:instrText>
    </w:r>
    <w:r w:rsidRPr="006A5F84">
      <w:rPr>
        <w:rStyle w:val="SayfaNumaras"/>
      </w:rPr>
      <w:fldChar w:fldCharType="separate"/>
    </w:r>
    <w:r w:rsidRPr="006A5F84">
      <w:rPr>
        <w:rStyle w:val="SayfaNumaras"/>
      </w:rPr>
      <w:t>1</w:t>
    </w:r>
    <w:r w:rsidRPr="006A5F84">
      <w:rPr>
        <w:rStyle w:val="SayfaNumaras"/>
      </w:rPr>
      <w:fldChar w:fldCharType="end"/>
    </w:r>
  </w:p>
  <w:p w14:paraId="6181BD8D" w14:textId="77777777" w:rsidR="00117ADA" w:rsidRPr="006A5F84" w:rsidRDefault="00117ADA" w:rsidP="0047783A">
    <w:pPr>
      <w:pStyle w:val="AltBilgi"/>
      <w:ind w:right="360"/>
    </w:pPr>
    <w:r w:rsidRPr="006A5F84">
      <w:t>2006</w:t>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r w:rsidRPr="006A5F84">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05B2C" w14:textId="77777777" w:rsidR="00D5103C" w:rsidRPr="006A5F84" w:rsidRDefault="00D5103C">
      <w:r w:rsidRPr="006A5F84">
        <w:separator/>
      </w:r>
    </w:p>
  </w:footnote>
  <w:footnote w:type="continuationSeparator" w:id="0">
    <w:p w14:paraId="239574DE" w14:textId="77777777" w:rsidR="00D5103C" w:rsidRPr="006A5F84" w:rsidRDefault="00D5103C">
      <w:r w:rsidRPr="006A5F84">
        <w:continuationSeparator/>
      </w:r>
    </w:p>
  </w:footnote>
  <w:footnote w:id="1">
    <w:p w14:paraId="613D5799" w14:textId="2FC28031" w:rsidR="009F7E6A" w:rsidRDefault="009F7E6A" w:rsidP="009D0375">
      <w:pPr>
        <w:pStyle w:val="DipnotMetni"/>
      </w:pPr>
      <w:r>
        <w:rPr>
          <w:rStyle w:val="DipnotBavurusu"/>
        </w:rPr>
        <w:footnoteRef/>
      </w:r>
      <w:r w:rsidR="005A123C">
        <w:tab/>
      </w:r>
      <w:r>
        <w:t>OJ L 205 of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2B32B" w14:textId="77777777" w:rsidR="00C84FFB" w:rsidRDefault="00C84FF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1E106F" w14:textId="77777777" w:rsidR="00C84FFB" w:rsidRDefault="00C84FFB">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53C7F" w14:textId="77777777" w:rsidR="00C84FFB" w:rsidRDefault="00C84FF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FF6B6F"/>
    <w:multiLevelType w:val="hybridMultilevel"/>
    <w:tmpl w:val="A236907C"/>
    <w:lvl w:ilvl="0" w:tplc="74F8D086">
      <w:numFmt w:val="bullet"/>
      <w:lvlText w:val="-"/>
      <w:lvlJc w:val="left"/>
      <w:pPr>
        <w:ind w:left="258" w:hanging="142"/>
      </w:pPr>
      <w:rPr>
        <w:rFonts w:hint="default"/>
        <w:w w:val="99"/>
        <w:lang w:val="en-US" w:eastAsia="en-US" w:bidi="ar-SA"/>
      </w:rPr>
    </w:lvl>
    <w:lvl w:ilvl="1" w:tplc="613A8CD2">
      <w:numFmt w:val="bullet"/>
      <w:lvlText w:val="•"/>
      <w:lvlJc w:val="left"/>
      <w:pPr>
        <w:ind w:left="1206" w:hanging="142"/>
      </w:pPr>
      <w:rPr>
        <w:rFonts w:hint="default"/>
        <w:lang w:val="en-US" w:eastAsia="en-US" w:bidi="ar-SA"/>
      </w:rPr>
    </w:lvl>
    <w:lvl w:ilvl="2" w:tplc="D5969514">
      <w:numFmt w:val="bullet"/>
      <w:lvlText w:val="•"/>
      <w:lvlJc w:val="left"/>
      <w:pPr>
        <w:ind w:left="2153" w:hanging="142"/>
      </w:pPr>
      <w:rPr>
        <w:rFonts w:hint="default"/>
        <w:lang w:val="en-US" w:eastAsia="en-US" w:bidi="ar-SA"/>
      </w:rPr>
    </w:lvl>
    <w:lvl w:ilvl="3" w:tplc="A8D6C36E">
      <w:numFmt w:val="bullet"/>
      <w:lvlText w:val="•"/>
      <w:lvlJc w:val="left"/>
      <w:pPr>
        <w:ind w:left="3099" w:hanging="142"/>
      </w:pPr>
      <w:rPr>
        <w:rFonts w:hint="default"/>
        <w:lang w:val="en-US" w:eastAsia="en-US" w:bidi="ar-SA"/>
      </w:rPr>
    </w:lvl>
    <w:lvl w:ilvl="4" w:tplc="E1C0FD48">
      <w:numFmt w:val="bullet"/>
      <w:lvlText w:val="•"/>
      <w:lvlJc w:val="left"/>
      <w:pPr>
        <w:ind w:left="4046" w:hanging="142"/>
      </w:pPr>
      <w:rPr>
        <w:rFonts w:hint="default"/>
        <w:lang w:val="en-US" w:eastAsia="en-US" w:bidi="ar-SA"/>
      </w:rPr>
    </w:lvl>
    <w:lvl w:ilvl="5" w:tplc="3BB2961C">
      <w:numFmt w:val="bullet"/>
      <w:lvlText w:val="•"/>
      <w:lvlJc w:val="left"/>
      <w:pPr>
        <w:ind w:left="4993" w:hanging="142"/>
      </w:pPr>
      <w:rPr>
        <w:rFonts w:hint="default"/>
        <w:lang w:val="en-US" w:eastAsia="en-US" w:bidi="ar-SA"/>
      </w:rPr>
    </w:lvl>
    <w:lvl w:ilvl="6" w:tplc="4F9C8240">
      <w:numFmt w:val="bullet"/>
      <w:lvlText w:val="•"/>
      <w:lvlJc w:val="left"/>
      <w:pPr>
        <w:ind w:left="5939" w:hanging="142"/>
      </w:pPr>
      <w:rPr>
        <w:rFonts w:hint="default"/>
        <w:lang w:val="en-US" w:eastAsia="en-US" w:bidi="ar-SA"/>
      </w:rPr>
    </w:lvl>
    <w:lvl w:ilvl="7" w:tplc="4A48397C">
      <w:numFmt w:val="bullet"/>
      <w:lvlText w:val="•"/>
      <w:lvlJc w:val="left"/>
      <w:pPr>
        <w:ind w:left="6886" w:hanging="142"/>
      </w:pPr>
      <w:rPr>
        <w:rFonts w:hint="default"/>
        <w:lang w:val="en-US" w:eastAsia="en-US" w:bidi="ar-SA"/>
      </w:rPr>
    </w:lvl>
    <w:lvl w:ilvl="8" w:tplc="C702301C">
      <w:numFmt w:val="bullet"/>
      <w:lvlText w:val="•"/>
      <w:lvlJc w:val="left"/>
      <w:pPr>
        <w:ind w:left="7833" w:hanging="142"/>
      </w:pPr>
      <w:rPr>
        <w:rFonts w:hint="default"/>
        <w:lang w:val="en-US" w:eastAsia="en-US" w:bidi="ar-SA"/>
      </w:rPr>
    </w:lvl>
  </w:abstractNum>
  <w:abstractNum w:abstractNumId="3"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9" w15:restartNumberingAfterBreak="0">
    <w:nsid w:val="22DD3599"/>
    <w:multiLevelType w:val="multilevel"/>
    <w:tmpl w:val="4EAA5BA6"/>
    <w:lvl w:ilvl="0">
      <w:start w:val="1"/>
      <w:numFmt w:val="decimal"/>
      <w:pStyle w:val="ListeNumaras"/>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10"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3"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6ED22DA"/>
    <w:multiLevelType w:val="hybridMultilevel"/>
    <w:tmpl w:val="6130D446"/>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20"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216D6C"/>
    <w:multiLevelType w:val="multilevel"/>
    <w:tmpl w:val="F4D41070"/>
    <w:lvl w:ilvl="0">
      <w:start w:val="1"/>
      <w:numFmt w:val="decimal"/>
      <w:pStyle w:val="Balk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Balk4"/>
      <w:lvlText w:val="%1.%2.%3.%4"/>
      <w:lvlJc w:val="left"/>
      <w:pPr>
        <w:tabs>
          <w:tab w:val="num" w:pos="864"/>
        </w:tabs>
        <w:ind w:left="864" w:hanging="864"/>
      </w:pPr>
    </w:lvl>
    <w:lvl w:ilvl="4">
      <w:start w:val="1"/>
      <w:numFmt w:val="decimal"/>
      <w:pStyle w:val="Balk5"/>
      <w:lvlText w:val="%1.%2.%3.%4.%5"/>
      <w:lvlJc w:val="left"/>
      <w:pPr>
        <w:tabs>
          <w:tab w:val="num" w:pos="1008"/>
        </w:tabs>
        <w:ind w:left="1008" w:hanging="1008"/>
      </w:pPr>
    </w:lvl>
    <w:lvl w:ilvl="5">
      <w:start w:val="1"/>
      <w:numFmt w:val="none"/>
      <w:pStyle w:val="Balk6"/>
      <w:lvlText w:val=""/>
      <w:lvlJc w:val="left"/>
      <w:pPr>
        <w:tabs>
          <w:tab w:val="num" w:pos="360"/>
        </w:tabs>
        <w:ind w:left="0" w:firstLine="0"/>
      </w:pPr>
    </w:lvl>
    <w:lvl w:ilvl="6">
      <w:start w:val="1"/>
      <w:numFmt w:val="decimal"/>
      <w:pStyle w:val="Balk7"/>
      <w:lvlText w:val="%1.%2.%3.%4.%5.%6.%7"/>
      <w:lvlJc w:val="left"/>
      <w:pPr>
        <w:tabs>
          <w:tab w:val="num" w:pos="1296"/>
        </w:tabs>
        <w:ind w:left="1296" w:hanging="1296"/>
      </w:pPr>
    </w:lvl>
    <w:lvl w:ilvl="7">
      <w:start w:val="1"/>
      <w:numFmt w:val="decimal"/>
      <w:pStyle w:val="Balk8"/>
      <w:lvlText w:val="%1.%2.%3.%4.%5.%6.%7.%8"/>
      <w:lvlJc w:val="left"/>
      <w:pPr>
        <w:tabs>
          <w:tab w:val="num" w:pos="1440"/>
        </w:tabs>
        <w:ind w:left="1440" w:hanging="1440"/>
      </w:pPr>
    </w:lvl>
    <w:lvl w:ilvl="8">
      <w:start w:val="1"/>
      <w:numFmt w:val="decimal"/>
      <w:pStyle w:val="Balk9"/>
      <w:lvlText w:val="%1.%2.%3.%4.%5.%6.%7.%8.%9"/>
      <w:lvlJc w:val="left"/>
      <w:pPr>
        <w:tabs>
          <w:tab w:val="num" w:pos="1584"/>
        </w:tabs>
        <w:ind w:left="1584" w:hanging="1584"/>
      </w:pPr>
    </w:lvl>
  </w:abstractNum>
  <w:abstractNum w:abstractNumId="2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25"/>
  </w:num>
  <w:num w:numId="3">
    <w:abstractNumId w:val="10"/>
  </w:num>
  <w:num w:numId="4">
    <w:abstractNumId w:val="13"/>
  </w:num>
  <w:num w:numId="5">
    <w:abstractNumId w:val="27"/>
  </w:num>
  <w:num w:numId="6">
    <w:abstractNumId w:val="8"/>
  </w:num>
  <w:num w:numId="7">
    <w:abstractNumId w:val="5"/>
  </w:num>
  <w:num w:numId="8">
    <w:abstractNumId w:val="1"/>
  </w:num>
  <w:num w:numId="9">
    <w:abstractNumId w:val="14"/>
  </w:num>
  <w:num w:numId="10">
    <w:abstractNumId w:val="4"/>
  </w:num>
  <w:num w:numId="11">
    <w:abstractNumId w:val="23"/>
  </w:num>
  <w:num w:numId="12">
    <w:abstractNumId w:val="12"/>
  </w:num>
  <w:num w:numId="13">
    <w:abstractNumId w:val="6"/>
  </w:num>
  <w:num w:numId="14">
    <w:abstractNumId w:val="20"/>
  </w:num>
  <w:num w:numId="15">
    <w:abstractNumId w:val="21"/>
  </w:num>
  <w:num w:numId="16">
    <w:abstractNumId w:val="7"/>
  </w:num>
  <w:num w:numId="17">
    <w:abstractNumId w:val="16"/>
  </w:num>
  <w:num w:numId="18">
    <w:abstractNumId w:val="9"/>
  </w:num>
  <w:num w:numId="19">
    <w:abstractNumId w:val="3"/>
  </w:num>
  <w:num w:numId="20">
    <w:abstractNumId w:val="24"/>
  </w:num>
  <w:num w:numId="21">
    <w:abstractNumId w:val="17"/>
  </w:num>
  <w:num w:numId="22">
    <w:abstractNumId w:val="15"/>
  </w:num>
  <w:num w:numId="23">
    <w:abstractNumId w:val="0"/>
  </w:num>
  <w:num w:numId="24">
    <w:abstractNumId w:val="22"/>
  </w:num>
  <w:num w:numId="25">
    <w:abstractNumId w:val="28"/>
  </w:num>
  <w:num w:numId="26">
    <w:abstractNumId w:val="18"/>
  </w:num>
  <w:num w:numId="27">
    <w:abstractNumId w:val="19"/>
  </w:num>
  <w:num w:numId="2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BE"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2D62"/>
    <w:rsid w:val="00015C5E"/>
    <w:rsid w:val="000204BF"/>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6486"/>
    <w:rsid w:val="00157C6D"/>
    <w:rsid w:val="00157DEE"/>
    <w:rsid w:val="001645AC"/>
    <w:rsid w:val="00164F15"/>
    <w:rsid w:val="0016752D"/>
    <w:rsid w:val="00167C52"/>
    <w:rsid w:val="00172260"/>
    <w:rsid w:val="001766D9"/>
    <w:rsid w:val="00177A94"/>
    <w:rsid w:val="00180E2D"/>
    <w:rsid w:val="00181980"/>
    <w:rsid w:val="00184144"/>
    <w:rsid w:val="001859A5"/>
    <w:rsid w:val="001864B6"/>
    <w:rsid w:val="00187253"/>
    <w:rsid w:val="00190077"/>
    <w:rsid w:val="001932AF"/>
    <w:rsid w:val="001937B4"/>
    <w:rsid w:val="001A0632"/>
    <w:rsid w:val="001A6941"/>
    <w:rsid w:val="001A6C79"/>
    <w:rsid w:val="001B4DA9"/>
    <w:rsid w:val="001B5454"/>
    <w:rsid w:val="001B55AC"/>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32677"/>
    <w:rsid w:val="00240B1F"/>
    <w:rsid w:val="002426D3"/>
    <w:rsid w:val="0024425D"/>
    <w:rsid w:val="002442B7"/>
    <w:rsid w:val="002455C7"/>
    <w:rsid w:val="0025137A"/>
    <w:rsid w:val="002543D5"/>
    <w:rsid w:val="002560BB"/>
    <w:rsid w:val="002561C8"/>
    <w:rsid w:val="00256304"/>
    <w:rsid w:val="00256CB2"/>
    <w:rsid w:val="00262F04"/>
    <w:rsid w:val="0026542C"/>
    <w:rsid w:val="00266E8C"/>
    <w:rsid w:val="00271700"/>
    <w:rsid w:val="00272A7B"/>
    <w:rsid w:val="00277BEB"/>
    <w:rsid w:val="00283050"/>
    <w:rsid w:val="0028364A"/>
    <w:rsid w:val="00283AC4"/>
    <w:rsid w:val="00290561"/>
    <w:rsid w:val="00294190"/>
    <w:rsid w:val="0029676B"/>
    <w:rsid w:val="00297C14"/>
    <w:rsid w:val="002A0041"/>
    <w:rsid w:val="002A651B"/>
    <w:rsid w:val="002A6DB8"/>
    <w:rsid w:val="002B3B4D"/>
    <w:rsid w:val="002B471C"/>
    <w:rsid w:val="002B6401"/>
    <w:rsid w:val="002C5E99"/>
    <w:rsid w:val="002C649A"/>
    <w:rsid w:val="002C74BB"/>
    <w:rsid w:val="002D0CE1"/>
    <w:rsid w:val="002D1FCC"/>
    <w:rsid w:val="002D2D27"/>
    <w:rsid w:val="002D2FC0"/>
    <w:rsid w:val="002D34D3"/>
    <w:rsid w:val="002D6EED"/>
    <w:rsid w:val="002E5532"/>
    <w:rsid w:val="002F0BB0"/>
    <w:rsid w:val="002F1222"/>
    <w:rsid w:val="002F3C0E"/>
    <w:rsid w:val="0031140C"/>
    <w:rsid w:val="00317D86"/>
    <w:rsid w:val="00322263"/>
    <w:rsid w:val="00324259"/>
    <w:rsid w:val="0032469B"/>
    <w:rsid w:val="003308C6"/>
    <w:rsid w:val="003316E3"/>
    <w:rsid w:val="0033212F"/>
    <w:rsid w:val="003323F5"/>
    <w:rsid w:val="003330F8"/>
    <w:rsid w:val="00335E06"/>
    <w:rsid w:val="0033700A"/>
    <w:rsid w:val="003409B8"/>
    <w:rsid w:val="003439C4"/>
    <w:rsid w:val="00345D44"/>
    <w:rsid w:val="00347B7E"/>
    <w:rsid w:val="003502E9"/>
    <w:rsid w:val="00351351"/>
    <w:rsid w:val="00360344"/>
    <w:rsid w:val="003613D2"/>
    <w:rsid w:val="00361AE1"/>
    <w:rsid w:val="00361AF6"/>
    <w:rsid w:val="0036422F"/>
    <w:rsid w:val="00367D78"/>
    <w:rsid w:val="00371851"/>
    <w:rsid w:val="00371F01"/>
    <w:rsid w:val="003721AD"/>
    <w:rsid w:val="00372540"/>
    <w:rsid w:val="00380037"/>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481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5A75"/>
    <w:rsid w:val="004476EF"/>
    <w:rsid w:val="004520DC"/>
    <w:rsid w:val="0045310F"/>
    <w:rsid w:val="00454E0D"/>
    <w:rsid w:val="004554CB"/>
    <w:rsid w:val="0045678B"/>
    <w:rsid w:val="004607CD"/>
    <w:rsid w:val="004626B5"/>
    <w:rsid w:val="00463E3C"/>
    <w:rsid w:val="00467F67"/>
    <w:rsid w:val="00474AF3"/>
    <w:rsid w:val="004775D2"/>
    <w:rsid w:val="00477689"/>
    <w:rsid w:val="0047783A"/>
    <w:rsid w:val="00477E06"/>
    <w:rsid w:val="00483E24"/>
    <w:rsid w:val="00483E26"/>
    <w:rsid w:val="0049088E"/>
    <w:rsid w:val="0049293D"/>
    <w:rsid w:val="00494168"/>
    <w:rsid w:val="004A0140"/>
    <w:rsid w:val="004A101E"/>
    <w:rsid w:val="004A6563"/>
    <w:rsid w:val="004A7ED9"/>
    <w:rsid w:val="004B7463"/>
    <w:rsid w:val="004C270A"/>
    <w:rsid w:val="004C35B5"/>
    <w:rsid w:val="004C3C82"/>
    <w:rsid w:val="004C513F"/>
    <w:rsid w:val="004C6030"/>
    <w:rsid w:val="004C77A2"/>
    <w:rsid w:val="004D2FD8"/>
    <w:rsid w:val="004D33C9"/>
    <w:rsid w:val="004D7349"/>
    <w:rsid w:val="004E43B2"/>
    <w:rsid w:val="004E6C5D"/>
    <w:rsid w:val="004F5C57"/>
    <w:rsid w:val="004F7A0E"/>
    <w:rsid w:val="005005D7"/>
    <w:rsid w:val="00501FF0"/>
    <w:rsid w:val="005047E0"/>
    <w:rsid w:val="00507AF2"/>
    <w:rsid w:val="00507BA0"/>
    <w:rsid w:val="00512BE8"/>
    <w:rsid w:val="00513C6F"/>
    <w:rsid w:val="00515D85"/>
    <w:rsid w:val="00516552"/>
    <w:rsid w:val="0051770F"/>
    <w:rsid w:val="0052175F"/>
    <w:rsid w:val="00530948"/>
    <w:rsid w:val="0053480C"/>
    <w:rsid w:val="0053582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3430"/>
    <w:rsid w:val="00593550"/>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0EEB"/>
    <w:rsid w:val="005D72F7"/>
    <w:rsid w:val="005E3A18"/>
    <w:rsid w:val="005F3C51"/>
    <w:rsid w:val="005F4144"/>
    <w:rsid w:val="005F62D0"/>
    <w:rsid w:val="00602210"/>
    <w:rsid w:val="00611A73"/>
    <w:rsid w:val="006219A1"/>
    <w:rsid w:val="00623AB3"/>
    <w:rsid w:val="006311FE"/>
    <w:rsid w:val="0063123B"/>
    <w:rsid w:val="00631F9A"/>
    <w:rsid w:val="00633829"/>
    <w:rsid w:val="00634E68"/>
    <w:rsid w:val="00636E8F"/>
    <w:rsid w:val="00637C8F"/>
    <w:rsid w:val="006408AC"/>
    <w:rsid w:val="00640D24"/>
    <w:rsid w:val="00642E75"/>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E82"/>
    <w:rsid w:val="006B7FEA"/>
    <w:rsid w:val="006C2D19"/>
    <w:rsid w:val="006C2F05"/>
    <w:rsid w:val="006C3263"/>
    <w:rsid w:val="006C513D"/>
    <w:rsid w:val="006D100D"/>
    <w:rsid w:val="006D3BA1"/>
    <w:rsid w:val="006D3DE4"/>
    <w:rsid w:val="006D5CEE"/>
    <w:rsid w:val="006E5450"/>
    <w:rsid w:val="006E54F2"/>
    <w:rsid w:val="006E56FD"/>
    <w:rsid w:val="006E5B49"/>
    <w:rsid w:val="006E6880"/>
    <w:rsid w:val="006F43E5"/>
    <w:rsid w:val="006F596C"/>
    <w:rsid w:val="006F626A"/>
    <w:rsid w:val="00703B91"/>
    <w:rsid w:val="00704477"/>
    <w:rsid w:val="00711C72"/>
    <w:rsid w:val="0071212E"/>
    <w:rsid w:val="0071243A"/>
    <w:rsid w:val="00720411"/>
    <w:rsid w:val="007204F3"/>
    <w:rsid w:val="00722016"/>
    <w:rsid w:val="00722CB8"/>
    <w:rsid w:val="00724C93"/>
    <w:rsid w:val="00724D0C"/>
    <w:rsid w:val="00725082"/>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A1B"/>
    <w:rsid w:val="00794EE6"/>
    <w:rsid w:val="00795949"/>
    <w:rsid w:val="00797C04"/>
    <w:rsid w:val="007A0045"/>
    <w:rsid w:val="007A1101"/>
    <w:rsid w:val="007A3D34"/>
    <w:rsid w:val="007A67D6"/>
    <w:rsid w:val="007A6AF5"/>
    <w:rsid w:val="007B4853"/>
    <w:rsid w:val="007B65DB"/>
    <w:rsid w:val="007C0BDD"/>
    <w:rsid w:val="007C1656"/>
    <w:rsid w:val="007C75E0"/>
    <w:rsid w:val="007D5FA2"/>
    <w:rsid w:val="007D752C"/>
    <w:rsid w:val="007E0CD5"/>
    <w:rsid w:val="007E36E3"/>
    <w:rsid w:val="007E3D5F"/>
    <w:rsid w:val="007F4988"/>
    <w:rsid w:val="007F5DDE"/>
    <w:rsid w:val="007F6802"/>
    <w:rsid w:val="0080623C"/>
    <w:rsid w:val="00806CE0"/>
    <w:rsid w:val="00811F58"/>
    <w:rsid w:val="0081418B"/>
    <w:rsid w:val="008201BB"/>
    <w:rsid w:val="008214E2"/>
    <w:rsid w:val="008227A5"/>
    <w:rsid w:val="00822E7E"/>
    <w:rsid w:val="008272ED"/>
    <w:rsid w:val="00830347"/>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A40"/>
    <w:rsid w:val="008C5DAA"/>
    <w:rsid w:val="008C6A92"/>
    <w:rsid w:val="008D065E"/>
    <w:rsid w:val="008D70CB"/>
    <w:rsid w:val="008E007A"/>
    <w:rsid w:val="008E40E2"/>
    <w:rsid w:val="008E5F59"/>
    <w:rsid w:val="008E7A2D"/>
    <w:rsid w:val="008F3866"/>
    <w:rsid w:val="008F4FF6"/>
    <w:rsid w:val="009056A0"/>
    <w:rsid w:val="009143FD"/>
    <w:rsid w:val="00920A51"/>
    <w:rsid w:val="00922542"/>
    <w:rsid w:val="00923EDA"/>
    <w:rsid w:val="009251E3"/>
    <w:rsid w:val="00925DBE"/>
    <w:rsid w:val="00930AD1"/>
    <w:rsid w:val="0093582A"/>
    <w:rsid w:val="009372A3"/>
    <w:rsid w:val="00945CA1"/>
    <w:rsid w:val="0094670B"/>
    <w:rsid w:val="00950B0C"/>
    <w:rsid w:val="009679FA"/>
    <w:rsid w:val="0097513D"/>
    <w:rsid w:val="00980A42"/>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101C9"/>
    <w:rsid w:val="00A109B8"/>
    <w:rsid w:val="00A11551"/>
    <w:rsid w:val="00A11F12"/>
    <w:rsid w:val="00A13EB8"/>
    <w:rsid w:val="00A1746F"/>
    <w:rsid w:val="00A2645C"/>
    <w:rsid w:val="00A277E9"/>
    <w:rsid w:val="00A31EF5"/>
    <w:rsid w:val="00A41B28"/>
    <w:rsid w:val="00A5099A"/>
    <w:rsid w:val="00A512A5"/>
    <w:rsid w:val="00A512C9"/>
    <w:rsid w:val="00A539E4"/>
    <w:rsid w:val="00A55A8E"/>
    <w:rsid w:val="00A56046"/>
    <w:rsid w:val="00A62073"/>
    <w:rsid w:val="00A63E3C"/>
    <w:rsid w:val="00A665A2"/>
    <w:rsid w:val="00A7016F"/>
    <w:rsid w:val="00A72C82"/>
    <w:rsid w:val="00A75650"/>
    <w:rsid w:val="00A76A6E"/>
    <w:rsid w:val="00A812E9"/>
    <w:rsid w:val="00A845B1"/>
    <w:rsid w:val="00A87E3D"/>
    <w:rsid w:val="00A90875"/>
    <w:rsid w:val="00A9597C"/>
    <w:rsid w:val="00AA24A4"/>
    <w:rsid w:val="00AA3AAB"/>
    <w:rsid w:val="00AA4766"/>
    <w:rsid w:val="00AA5BB2"/>
    <w:rsid w:val="00AB0D0C"/>
    <w:rsid w:val="00AB26E0"/>
    <w:rsid w:val="00AB29A9"/>
    <w:rsid w:val="00AB3A36"/>
    <w:rsid w:val="00AB3AB0"/>
    <w:rsid w:val="00AB5ED5"/>
    <w:rsid w:val="00AB627A"/>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2293"/>
    <w:rsid w:val="00AF4052"/>
    <w:rsid w:val="00AF47CA"/>
    <w:rsid w:val="00B003F6"/>
    <w:rsid w:val="00B0538B"/>
    <w:rsid w:val="00B07102"/>
    <w:rsid w:val="00B1165D"/>
    <w:rsid w:val="00B12EB5"/>
    <w:rsid w:val="00B17A53"/>
    <w:rsid w:val="00B207DB"/>
    <w:rsid w:val="00B22470"/>
    <w:rsid w:val="00B24350"/>
    <w:rsid w:val="00B2488A"/>
    <w:rsid w:val="00B2499C"/>
    <w:rsid w:val="00B2529B"/>
    <w:rsid w:val="00B277E4"/>
    <w:rsid w:val="00B30528"/>
    <w:rsid w:val="00B3168E"/>
    <w:rsid w:val="00B34179"/>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87B98"/>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6222"/>
    <w:rsid w:val="00BC743F"/>
    <w:rsid w:val="00BD1306"/>
    <w:rsid w:val="00BD1517"/>
    <w:rsid w:val="00BD19BA"/>
    <w:rsid w:val="00BD201F"/>
    <w:rsid w:val="00BD2F43"/>
    <w:rsid w:val="00BD3371"/>
    <w:rsid w:val="00BD727C"/>
    <w:rsid w:val="00BD72C6"/>
    <w:rsid w:val="00BE3FDF"/>
    <w:rsid w:val="00BF1A9A"/>
    <w:rsid w:val="00BF6C32"/>
    <w:rsid w:val="00C01E30"/>
    <w:rsid w:val="00C05EBE"/>
    <w:rsid w:val="00C12AF0"/>
    <w:rsid w:val="00C13C29"/>
    <w:rsid w:val="00C1524D"/>
    <w:rsid w:val="00C17310"/>
    <w:rsid w:val="00C20179"/>
    <w:rsid w:val="00C20F71"/>
    <w:rsid w:val="00C302E1"/>
    <w:rsid w:val="00C3235B"/>
    <w:rsid w:val="00C34E40"/>
    <w:rsid w:val="00C41328"/>
    <w:rsid w:val="00C41919"/>
    <w:rsid w:val="00C45D2B"/>
    <w:rsid w:val="00C52305"/>
    <w:rsid w:val="00C61312"/>
    <w:rsid w:val="00C70783"/>
    <w:rsid w:val="00C70E2C"/>
    <w:rsid w:val="00C720C8"/>
    <w:rsid w:val="00C73AAE"/>
    <w:rsid w:val="00C73F87"/>
    <w:rsid w:val="00C75CCE"/>
    <w:rsid w:val="00C778A1"/>
    <w:rsid w:val="00C80DCF"/>
    <w:rsid w:val="00C8298B"/>
    <w:rsid w:val="00C846C9"/>
    <w:rsid w:val="00C84FFB"/>
    <w:rsid w:val="00C86724"/>
    <w:rsid w:val="00C92434"/>
    <w:rsid w:val="00C94A76"/>
    <w:rsid w:val="00C95838"/>
    <w:rsid w:val="00CA1354"/>
    <w:rsid w:val="00CA1E77"/>
    <w:rsid w:val="00CA2B18"/>
    <w:rsid w:val="00CA3F76"/>
    <w:rsid w:val="00CA6C68"/>
    <w:rsid w:val="00CB616B"/>
    <w:rsid w:val="00CC189A"/>
    <w:rsid w:val="00CC7DE2"/>
    <w:rsid w:val="00CD54BF"/>
    <w:rsid w:val="00CD68C0"/>
    <w:rsid w:val="00CD6FC9"/>
    <w:rsid w:val="00CD7F25"/>
    <w:rsid w:val="00CE64D0"/>
    <w:rsid w:val="00CF2DE2"/>
    <w:rsid w:val="00CF30C4"/>
    <w:rsid w:val="00CF6CFA"/>
    <w:rsid w:val="00D02E23"/>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103C"/>
    <w:rsid w:val="00D52CBF"/>
    <w:rsid w:val="00D541A5"/>
    <w:rsid w:val="00D576CA"/>
    <w:rsid w:val="00D60913"/>
    <w:rsid w:val="00D662AA"/>
    <w:rsid w:val="00D66F04"/>
    <w:rsid w:val="00D678AC"/>
    <w:rsid w:val="00D715B1"/>
    <w:rsid w:val="00D71AF3"/>
    <w:rsid w:val="00D75213"/>
    <w:rsid w:val="00D75E7A"/>
    <w:rsid w:val="00D7711A"/>
    <w:rsid w:val="00D82847"/>
    <w:rsid w:val="00D8298C"/>
    <w:rsid w:val="00D83918"/>
    <w:rsid w:val="00D83D1B"/>
    <w:rsid w:val="00D85726"/>
    <w:rsid w:val="00D86B5F"/>
    <w:rsid w:val="00D90043"/>
    <w:rsid w:val="00D91D64"/>
    <w:rsid w:val="00D92D6A"/>
    <w:rsid w:val="00D93DB5"/>
    <w:rsid w:val="00D979C6"/>
    <w:rsid w:val="00DA4AB8"/>
    <w:rsid w:val="00DC50E2"/>
    <w:rsid w:val="00DC54A0"/>
    <w:rsid w:val="00DC6C9C"/>
    <w:rsid w:val="00DD0624"/>
    <w:rsid w:val="00DD13B0"/>
    <w:rsid w:val="00DD2B6E"/>
    <w:rsid w:val="00DD562E"/>
    <w:rsid w:val="00DD5838"/>
    <w:rsid w:val="00DE13B8"/>
    <w:rsid w:val="00DE7055"/>
    <w:rsid w:val="00DE71AB"/>
    <w:rsid w:val="00DF7145"/>
    <w:rsid w:val="00DF7327"/>
    <w:rsid w:val="00DF7EE0"/>
    <w:rsid w:val="00E0295D"/>
    <w:rsid w:val="00E0396B"/>
    <w:rsid w:val="00E13CDE"/>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198B"/>
    <w:rsid w:val="00E62221"/>
    <w:rsid w:val="00E62923"/>
    <w:rsid w:val="00E653F0"/>
    <w:rsid w:val="00E66C96"/>
    <w:rsid w:val="00E672EF"/>
    <w:rsid w:val="00E70FE6"/>
    <w:rsid w:val="00E730A5"/>
    <w:rsid w:val="00E74AE4"/>
    <w:rsid w:val="00E76535"/>
    <w:rsid w:val="00E811F3"/>
    <w:rsid w:val="00E85F91"/>
    <w:rsid w:val="00E87734"/>
    <w:rsid w:val="00EA1F6C"/>
    <w:rsid w:val="00EA2492"/>
    <w:rsid w:val="00EA2743"/>
    <w:rsid w:val="00EA63E1"/>
    <w:rsid w:val="00EB2C4D"/>
    <w:rsid w:val="00EB32E9"/>
    <w:rsid w:val="00EB3F46"/>
    <w:rsid w:val="00EB45CB"/>
    <w:rsid w:val="00EB78F4"/>
    <w:rsid w:val="00EC51B6"/>
    <w:rsid w:val="00ED58B7"/>
    <w:rsid w:val="00EE0ED9"/>
    <w:rsid w:val="00EE23B1"/>
    <w:rsid w:val="00EE2E55"/>
    <w:rsid w:val="00EE456E"/>
    <w:rsid w:val="00EF1C05"/>
    <w:rsid w:val="00EF3951"/>
    <w:rsid w:val="00EF4DF7"/>
    <w:rsid w:val="00EF6426"/>
    <w:rsid w:val="00EF6552"/>
    <w:rsid w:val="00F017DE"/>
    <w:rsid w:val="00F02006"/>
    <w:rsid w:val="00F0405C"/>
    <w:rsid w:val="00F0574A"/>
    <w:rsid w:val="00F06EF9"/>
    <w:rsid w:val="00F16179"/>
    <w:rsid w:val="00F21266"/>
    <w:rsid w:val="00F215D8"/>
    <w:rsid w:val="00F30624"/>
    <w:rsid w:val="00F33149"/>
    <w:rsid w:val="00F33605"/>
    <w:rsid w:val="00F33A99"/>
    <w:rsid w:val="00F355C1"/>
    <w:rsid w:val="00F35D21"/>
    <w:rsid w:val="00F4288C"/>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5B8"/>
    <w:rsid w:val="00F86699"/>
    <w:rsid w:val="00F874CE"/>
    <w:rsid w:val="00F87ABC"/>
    <w:rsid w:val="00F87F88"/>
    <w:rsid w:val="00F90A9F"/>
    <w:rsid w:val="00F91DF6"/>
    <w:rsid w:val="00F94745"/>
    <w:rsid w:val="00F952A4"/>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0D9"/>
    <w:pPr>
      <w:spacing w:before="120" w:after="120"/>
    </w:pPr>
    <w:rPr>
      <w:rFonts w:ascii="Arial" w:hAnsi="Arial"/>
      <w:snapToGrid w:val="0"/>
      <w:lang w:eastAsia="en-US"/>
    </w:rPr>
  </w:style>
  <w:style w:type="paragraph" w:styleId="Balk1">
    <w:name w:val="heading 1"/>
    <w:basedOn w:val="Normal"/>
    <w:next w:val="Normal"/>
    <w:link w:val="Balk1Char"/>
    <w:qFormat/>
    <w:pPr>
      <w:keepNext/>
      <w:numPr>
        <w:numId w:val="2"/>
      </w:numPr>
      <w:tabs>
        <w:tab w:val="right" w:pos="567"/>
      </w:tabs>
      <w:spacing w:before="240" w:after="240"/>
      <w:jc w:val="both"/>
      <w:outlineLvl w:val="0"/>
    </w:pPr>
    <w:rPr>
      <w:b/>
      <w:lang w:val="fr-BE"/>
    </w:rPr>
  </w:style>
  <w:style w:type="paragraph" w:styleId="Balk2">
    <w:name w:val="heading 2"/>
    <w:basedOn w:val="Normal"/>
    <w:next w:val="Normal"/>
    <w:link w:val="Balk2Char"/>
    <w:qFormat/>
    <w:pPr>
      <w:keepNext/>
      <w:outlineLvl w:val="1"/>
    </w:pPr>
    <w:rPr>
      <w:lang w:val="fr-BE"/>
    </w:rPr>
  </w:style>
  <w:style w:type="paragraph" w:styleId="Balk3">
    <w:name w:val="heading 3"/>
    <w:basedOn w:val="Normal"/>
    <w:next w:val="Normal"/>
    <w:link w:val="Balk3Char"/>
    <w:qFormat/>
    <w:pPr>
      <w:keepNext/>
      <w:framePr w:hSpace="181" w:vSpace="181" w:wrap="auto" w:vAnchor="text" w:hAnchor="text" w:y="1"/>
      <w:outlineLvl w:val="2"/>
    </w:pPr>
  </w:style>
  <w:style w:type="paragraph" w:styleId="Balk4">
    <w:name w:val="heading 4"/>
    <w:basedOn w:val="Normal"/>
    <w:next w:val="Normal"/>
    <w:link w:val="Balk4Char"/>
    <w:qFormat/>
    <w:pPr>
      <w:keepNext/>
      <w:numPr>
        <w:ilvl w:val="3"/>
        <w:numId w:val="2"/>
      </w:numPr>
      <w:spacing w:before="240" w:after="60"/>
      <w:outlineLvl w:val="3"/>
    </w:pPr>
    <w:rPr>
      <w:b/>
      <w:sz w:val="24"/>
      <w:lang w:val="sv-SE"/>
    </w:rPr>
  </w:style>
  <w:style w:type="paragraph" w:styleId="Balk5">
    <w:name w:val="heading 5"/>
    <w:basedOn w:val="Normal"/>
    <w:next w:val="Normal"/>
    <w:link w:val="Balk5Char"/>
    <w:qFormat/>
    <w:pPr>
      <w:numPr>
        <w:ilvl w:val="4"/>
        <w:numId w:val="2"/>
      </w:numPr>
      <w:spacing w:before="240" w:after="60"/>
      <w:outlineLvl w:val="4"/>
    </w:pPr>
    <w:rPr>
      <w:sz w:val="22"/>
      <w:lang w:val="sv-SE"/>
    </w:rPr>
  </w:style>
  <w:style w:type="paragraph" w:styleId="Balk6">
    <w:name w:val="heading 6"/>
    <w:basedOn w:val="Normal"/>
    <w:next w:val="Normal"/>
    <w:link w:val="Balk6Char"/>
    <w:qFormat/>
    <w:pPr>
      <w:numPr>
        <w:ilvl w:val="5"/>
        <w:numId w:val="2"/>
      </w:numPr>
      <w:tabs>
        <w:tab w:val="clear" w:pos="360"/>
        <w:tab w:val="num" w:pos="1152"/>
      </w:tabs>
      <w:spacing w:before="240" w:after="60"/>
      <w:ind w:left="1152" w:hanging="1152"/>
      <w:outlineLvl w:val="5"/>
    </w:pPr>
    <w:rPr>
      <w:i/>
      <w:sz w:val="22"/>
      <w:lang w:val="sv-SE"/>
    </w:rPr>
  </w:style>
  <w:style w:type="paragraph" w:styleId="Balk7">
    <w:name w:val="heading 7"/>
    <w:basedOn w:val="Normal"/>
    <w:next w:val="Normal"/>
    <w:link w:val="Balk7Char"/>
    <w:qFormat/>
    <w:pPr>
      <w:numPr>
        <w:ilvl w:val="6"/>
        <w:numId w:val="2"/>
      </w:numPr>
      <w:spacing w:before="240" w:after="60"/>
      <w:outlineLvl w:val="6"/>
    </w:pPr>
    <w:rPr>
      <w:lang w:val="sv-SE"/>
    </w:rPr>
  </w:style>
  <w:style w:type="paragraph" w:styleId="Balk8">
    <w:name w:val="heading 8"/>
    <w:basedOn w:val="Normal"/>
    <w:next w:val="Normal"/>
    <w:link w:val="Balk8Char"/>
    <w:qFormat/>
    <w:pPr>
      <w:numPr>
        <w:ilvl w:val="7"/>
        <w:numId w:val="2"/>
      </w:numPr>
      <w:spacing w:before="240" w:after="60"/>
      <w:outlineLvl w:val="7"/>
    </w:pPr>
    <w:rPr>
      <w:i/>
      <w:lang w:val="sv-SE"/>
    </w:rPr>
  </w:style>
  <w:style w:type="paragraph" w:styleId="Balk9">
    <w:name w:val="heading 9"/>
    <w:basedOn w:val="Normal"/>
    <w:next w:val="Normal"/>
    <w:link w:val="Balk9Char"/>
    <w:qFormat/>
    <w:pPr>
      <w:numPr>
        <w:ilvl w:val="8"/>
        <w:numId w:val="2"/>
      </w:numPr>
      <w:spacing w:before="240" w:after="60"/>
      <w:outlineLvl w:val="8"/>
    </w:pPr>
    <w:rPr>
      <w:b/>
      <w:i/>
      <w:sz w:val="18"/>
      <w:lang w:val="sv-S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pPr>
      <w:jc w:val="center"/>
    </w:pPr>
    <w:rPr>
      <w:b/>
      <w:sz w:val="28"/>
      <w:lang w:val="fr-BE"/>
    </w:rPr>
  </w:style>
  <w:style w:type="paragraph" w:styleId="Altyaz">
    <w:name w:val="Subtitle"/>
    <w:basedOn w:val="Normal"/>
    <w:link w:val="AltyazChar"/>
    <w:qFormat/>
    <w:pPr>
      <w:jc w:val="center"/>
    </w:pPr>
    <w:rPr>
      <w:b/>
      <w:sz w:val="28"/>
      <w:lang w:val="fr-BE"/>
    </w:rPr>
  </w:style>
  <w:style w:type="paragraph" w:styleId="GvdeMetniGirintisi">
    <w:name w:val="Body Text Indent"/>
    <w:basedOn w:val="Normal"/>
    <w:link w:val="GvdeMetniGirintisiChar"/>
    <w:pPr>
      <w:tabs>
        <w:tab w:val="num" w:pos="567"/>
      </w:tabs>
      <w:spacing w:before="0" w:after="0"/>
      <w:jc w:val="both"/>
    </w:pPr>
    <w:rPr>
      <w:rFonts w:ascii="Times New Roman" w:hAnsi="Times New Roman"/>
      <w:sz w:val="24"/>
      <w:lang w:val="sv-SE"/>
    </w:rPr>
  </w:style>
  <w:style w:type="paragraph" w:styleId="GvdeMetni">
    <w:name w:val="Body Text"/>
    <w:basedOn w:val="Normal"/>
    <w:link w:val="GvdeMetniChar"/>
    <w:rPr>
      <w:lang w:val="sv-SE"/>
    </w:rPr>
  </w:style>
  <w:style w:type="paragraph" w:styleId="GvdeMetniGirintisi2">
    <w:name w:val="Body Text Indent 2"/>
    <w:basedOn w:val="Normal"/>
    <w:link w:val="GvdeMetniGirintisi2Char"/>
    <w:pPr>
      <w:tabs>
        <w:tab w:val="num" w:pos="567"/>
        <w:tab w:val="num" w:pos="2160"/>
      </w:tabs>
      <w:spacing w:after="240"/>
      <w:ind w:left="567" w:hanging="567"/>
      <w:jc w:val="both"/>
    </w:pPr>
    <w:rPr>
      <w:sz w:val="24"/>
      <w:u w:val="single"/>
      <w:lang w:val="sv-SE"/>
    </w:rPr>
  </w:style>
  <w:style w:type="paragraph" w:styleId="GvdeMetniGirintisi3">
    <w:name w:val="Body Text Indent 3"/>
    <w:basedOn w:val="Normal"/>
    <w:link w:val="GvdeMetniGirintisi3Char"/>
    <w:pPr>
      <w:tabs>
        <w:tab w:val="left" w:pos="1276"/>
      </w:tabs>
      <w:ind w:left="1276" w:hanging="425"/>
      <w:jc w:val="both"/>
    </w:pPr>
    <w:rPr>
      <w:sz w:val="24"/>
      <w:lang w:val="sv-SE"/>
    </w:rPr>
  </w:style>
  <w:style w:type="paragraph" w:customStyle="1" w:styleId="Text3">
    <w:name w:val="Text 3"/>
    <w:basedOn w:val="Normal"/>
    <w:pPr>
      <w:tabs>
        <w:tab w:val="left" w:pos="2302"/>
      </w:tabs>
      <w:spacing w:after="240"/>
      <w:ind w:left="1202"/>
      <w:jc w:val="both"/>
    </w:pPr>
    <w:rPr>
      <w:sz w:val="24"/>
    </w:rPr>
  </w:style>
  <w:style w:type="paragraph" w:styleId="stBilgi">
    <w:name w:val="header"/>
    <w:basedOn w:val="Normal"/>
    <w:link w:val="stBilgiChar"/>
    <w:pPr>
      <w:tabs>
        <w:tab w:val="center" w:pos="4320"/>
        <w:tab w:val="right" w:pos="8640"/>
      </w:tabs>
    </w:pPr>
    <w:rPr>
      <w:lang w:val="sv-SE"/>
    </w:rPr>
  </w:style>
  <w:style w:type="paragraph" w:styleId="AltBilgi">
    <w:name w:val="footer"/>
    <w:basedOn w:val="Normal"/>
    <w:link w:val="AltBilgiChar"/>
    <w:uiPriority w:val="99"/>
    <w:pPr>
      <w:tabs>
        <w:tab w:val="center" w:pos="4320"/>
        <w:tab w:val="right" w:pos="8640"/>
      </w:tabs>
    </w:pPr>
    <w:rPr>
      <w:lang w:val="sv-SE"/>
    </w:rPr>
  </w:style>
  <w:style w:type="character" w:styleId="SayfaNumaras">
    <w:name w:val="page number"/>
    <w:basedOn w:val="VarsaylanParagrafYazTipi"/>
  </w:style>
  <w:style w:type="paragraph" w:styleId="GvdeMetni3">
    <w:name w:val="Body Text 3"/>
    <w:basedOn w:val="Normal"/>
    <w:link w:val="GvdeMetni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Kpr">
    <w:name w:val="Hyperlink"/>
    <w:rPr>
      <w:color w:val="0000FF"/>
      <w:u w:val="single"/>
    </w:rPr>
  </w:style>
  <w:style w:type="paragraph" w:styleId="DipnotMetni">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DipnotMetniChar"/>
    <w:autoRedefine/>
    <w:uiPriority w:val="99"/>
    <w:qFormat/>
    <w:rsid w:val="009D0375"/>
    <w:pPr>
      <w:spacing w:before="0"/>
      <w:ind w:left="142" w:hanging="142"/>
      <w:jc w:val="both"/>
    </w:pPr>
    <w:rPr>
      <w:rFonts w:ascii="Times New Roman" w:hAnsi="Times New Roman"/>
      <w:lang w:val="fr-FR"/>
    </w:rPr>
  </w:style>
  <w:style w:type="character" w:styleId="DipnotBavurusu">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BelgeBalantlar">
    <w:name w:val="Document Map"/>
    <w:basedOn w:val="Normal"/>
    <w:link w:val="BelgeBalantlar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Balk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2">
    <w:name w:val="toc 2"/>
    <w:basedOn w:val="Normal"/>
    <w:next w:val="Normal"/>
    <w:autoRedefine/>
    <w:semiHidden/>
    <w:pPr>
      <w:spacing w:before="0" w:after="0"/>
      <w:ind w:left="200"/>
    </w:pPr>
    <w:rPr>
      <w:rFonts w:ascii="Times New Roman" w:hAnsi="Times New Roman"/>
      <w:smallCaps/>
    </w:rPr>
  </w:style>
  <w:style w:type="character" w:styleId="Gl">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3">
    <w:name w:val="toc 3"/>
    <w:basedOn w:val="Normal"/>
    <w:next w:val="Normal"/>
    <w:autoRedefine/>
    <w:semiHidden/>
    <w:pPr>
      <w:spacing w:before="0" w:after="0"/>
      <w:ind w:left="400"/>
    </w:pPr>
    <w:rPr>
      <w:rFonts w:ascii="Times New Roman" w:hAnsi="Times New Roman"/>
      <w:i/>
    </w:rPr>
  </w:style>
  <w:style w:type="paragraph" w:styleId="T4">
    <w:name w:val="toc 4"/>
    <w:basedOn w:val="Normal"/>
    <w:next w:val="Normal"/>
    <w:autoRedefine/>
    <w:semiHidden/>
    <w:pPr>
      <w:spacing w:before="0" w:after="0"/>
      <w:ind w:left="600"/>
    </w:pPr>
    <w:rPr>
      <w:rFonts w:ascii="Times New Roman" w:hAnsi="Times New Roman"/>
      <w:sz w:val="18"/>
    </w:rPr>
  </w:style>
  <w:style w:type="paragraph" w:styleId="T5">
    <w:name w:val="toc 5"/>
    <w:basedOn w:val="Normal"/>
    <w:next w:val="Normal"/>
    <w:autoRedefine/>
    <w:semiHidden/>
    <w:pPr>
      <w:spacing w:before="0" w:after="0"/>
      <w:ind w:left="800"/>
    </w:pPr>
    <w:rPr>
      <w:rFonts w:ascii="Times New Roman" w:hAnsi="Times New Roman"/>
      <w:sz w:val="18"/>
    </w:rPr>
  </w:style>
  <w:style w:type="paragraph" w:styleId="T6">
    <w:name w:val="toc 6"/>
    <w:basedOn w:val="Normal"/>
    <w:next w:val="Normal"/>
    <w:autoRedefine/>
    <w:semiHidden/>
    <w:pPr>
      <w:spacing w:before="0" w:after="0"/>
      <w:ind w:left="1000"/>
    </w:pPr>
    <w:rPr>
      <w:rFonts w:ascii="Times New Roman" w:hAnsi="Times New Roman"/>
      <w:sz w:val="18"/>
    </w:rPr>
  </w:style>
  <w:style w:type="paragraph" w:styleId="T7">
    <w:name w:val="toc 7"/>
    <w:basedOn w:val="Normal"/>
    <w:next w:val="Normal"/>
    <w:autoRedefine/>
    <w:semiHidden/>
    <w:pPr>
      <w:spacing w:before="0" w:after="0"/>
      <w:ind w:left="1200"/>
    </w:pPr>
    <w:rPr>
      <w:rFonts w:ascii="Times New Roman" w:hAnsi="Times New Roman"/>
      <w:sz w:val="18"/>
    </w:rPr>
  </w:style>
  <w:style w:type="paragraph" w:styleId="T8">
    <w:name w:val="toc 8"/>
    <w:basedOn w:val="Normal"/>
    <w:next w:val="Normal"/>
    <w:autoRedefine/>
    <w:semiHidden/>
    <w:pPr>
      <w:spacing w:before="0" w:after="0"/>
      <w:ind w:left="1400"/>
    </w:pPr>
    <w:rPr>
      <w:rFonts w:ascii="Times New Roman" w:hAnsi="Times New Roman"/>
      <w:sz w:val="18"/>
    </w:rPr>
  </w:style>
  <w:style w:type="paragraph" w:styleId="T9">
    <w:name w:val="toc 9"/>
    <w:basedOn w:val="Normal"/>
    <w:next w:val="Normal"/>
    <w:autoRedefine/>
    <w:semiHidden/>
    <w:pPr>
      <w:spacing w:before="0" w:after="0"/>
      <w:ind w:left="1600"/>
    </w:pPr>
    <w:rPr>
      <w:rFonts w:ascii="Times New Roman" w:hAnsi="Times New Roman"/>
      <w:sz w:val="18"/>
    </w:rPr>
  </w:style>
  <w:style w:type="character" w:styleId="zlenenKpr">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before="0" w:after="0" w:line="360" w:lineRule="exact"/>
      <w:jc w:val="center"/>
    </w:pPr>
    <w:rPr>
      <w:b/>
      <w:sz w:val="32"/>
      <w:lang w:val="cs-CZ"/>
    </w:rPr>
  </w:style>
  <w:style w:type="paragraph" w:customStyle="1" w:styleId="ManualNumPar1">
    <w:name w:val="Manual NumPar 1"/>
    <w:basedOn w:val="Normal"/>
    <w:next w:val="Normal"/>
    <w:pPr>
      <w:ind w:left="851" w:hanging="851"/>
      <w:jc w:val="both"/>
    </w:pPr>
    <w:rPr>
      <w:rFonts w:ascii="Times New Roman" w:hAnsi="Times New Roman"/>
      <w:sz w:val="24"/>
      <w:lang w:val="fr-FR"/>
    </w:rPr>
  </w:style>
  <w:style w:type="table" w:styleId="TabloKlavuzu">
    <w:name w:val="Table Grid"/>
    <w:basedOn w:val="NormalTablo"/>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2">
    <w:name w:val="Body Text 2"/>
    <w:basedOn w:val="Normal"/>
    <w:link w:val="GvdeMetni2Char"/>
    <w:rsid w:val="00AE7D13"/>
    <w:pPr>
      <w:tabs>
        <w:tab w:val="num" w:pos="567"/>
      </w:tabs>
      <w:spacing w:before="0" w:after="0"/>
      <w:jc w:val="both"/>
    </w:pPr>
    <w:rPr>
      <w:rFonts w:ascii="Times New Roman" w:hAnsi="Times New Roman"/>
      <w:snapToGrid/>
      <w:sz w:val="24"/>
      <w:lang w:val="sv-SE"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onMetni">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Balk1"/>
    <w:autoRedefine/>
    <w:rsid w:val="0047783A"/>
    <w:pPr>
      <w:numPr>
        <w:numId w:val="1"/>
      </w:numPr>
      <w:tabs>
        <w:tab w:val="right" w:pos="567"/>
      </w:tabs>
    </w:pPr>
    <w:rPr>
      <w:rFonts w:ascii="Times New Roman" w:hAnsi="Times New Roman"/>
      <w:bCs/>
      <w:iCs/>
      <w:sz w:val="24"/>
      <w:szCs w:val="24"/>
    </w:rPr>
  </w:style>
  <w:style w:type="character" w:customStyle="1" w:styleId="Balk2Char">
    <w:name w:val="Başlık 2 Char"/>
    <w:link w:val="Balk2"/>
    <w:semiHidden/>
    <w:locked/>
    <w:rsid w:val="0047783A"/>
    <w:rPr>
      <w:rFonts w:ascii="Arial" w:hAnsi="Arial"/>
      <w:snapToGrid w:val="0"/>
      <w:lang w:val="fr-BE" w:eastAsia="en-US" w:bidi="ar-SA"/>
    </w:rPr>
  </w:style>
  <w:style w:type="character" w:customStyle="1" w:styleId="Balk1Char">
    <w:name w:val="Başlık 1 Char"/>
    <w:link w:val="Balk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Balk3Char">
    <w:name w:val="Başlık 3 Char"/>
    <w:link w:val="Balk3"/>
    <w:semiHidden/>
    <w:locked/>
    <w:rsid w:val="0047783A"/>
    <w:rPr>
      <w:rFonts w:ascii="Arial" w:hAnsi="Arial"/>
      <w:snapToGrid w:val="0"/>
      <w:lang w:val="en-GB" w:eastAsia="en-US" w:bidi="ar-SA"/>
    </w:rPr>
  </w:style>
  <w:style w:type="character" w:customStyle="1" w:styleId="Balk4Char">
    <w:name w:val="Başlık 4 Char"/>
    <w:link w:val="Balk4"/>
    <w:semiHidden/>
    <w:locked/>
    <w:rsid w:val="0047783A"/>
    <w:rPr>
      <w:rFonts w:ascii="Arial" w:hAnsi="Arial"/>
      <w:b/>
      <w:snapToGrid w:val="0"/>
      <w:sz w:val="24"/>
      <w:lang w:val="sv-SE" w:eastAsia="en-US" w:bidi="ar-SA"/>
    </w:rPr>
  </w:style>
  <w:style w:type="character" w:customStyle="1" w:styleId="Balk5Char">
    <w:name w:val="Başlık 5 Char"/>
    <w:link w:val="Balk5"/>
    <w:semiHidden/>
    <w:locked/>
    <w:rsid w:val="0047783A"/>
    <w:rPr>
      <w:rFonts w:ascii="Arial" w:hAnsi="Arial"/>
      <w:snapToGrid w:val="0"/>
      <w:sz w:val="22"/>
      <w:lang w:val="sv-SE" w:eastAsia="en-US" w:bidi="ar-SA"/>
    </w:rPr>
  </w:style>
  <w:style w:type="character" w:customStyle="1" w:styleId="Balk6Char">
    <w:name w:val="Başlık 6 Char"/>
    <w:link w:val="Balk6"/>
    <w:semiHidden/>
    <w:locked/>
    <w:rsid w:val="0047783A"/>
    <w:rPr>
      <w:rFonts w:ascii="Arial" w:hAnsi="Arial"/>
      <w:i/>
      <w:snapToGrid w:val="0"/>
      <w:sz w:val="22"/>
      <w:lang w:val="sv-SE" w:eastAsia="en-US" w:bidi="ar-SA"/>
    </w:rPr>
  </w:style>
  <w:style w:type="character" w:customStyle="1" w:styleId="Balk7Char">
    <w:name w:val="Başlık 7 Char"/>
    <w:link w:val="Balk7"/>
    <w:semiHidden/>
    <w:locked/>
    <w:rsid w:val="0047783A"/>
    <w:rPr>
      <w:rFonts w:ascii="Arial" w:hAnsi="Arial"/>
      <w:snapToGrid w:val="0"/>
      <w:lang w:val="sv-SE" w:eastAsia="en-US" w:bidi="ar-SA"/>
    </w:rPr>
  </w:style>
  <w:style w:type="character" w:customStyle="1" w:styleId="Balk8Char">
    <w:name w:val="Başlık 8 Char"/>
    <w:link w:val="Balk8"/>
    <w:semiHidden/>
    <w:locked/>
    <w:rsid w:val="0047783A"/>
    <w:rPr>
      <w:rFonts w:ascii="Arial" w:hAnsi="Arial"/>
      <w:i/>
      <w:snapToGrid w:val="0"/>
      <w:lang w:val="sv-SE" w:eastAsia="en-US" w:bidi="ar-SA"/>
    </w:rPr>
  </w:style>
  <w:style w:type="character" w:customStyle="1" w:styleId="Balk9Char">
    <w:name w:val="Başlık 9 Char"/>
    <w:link w:val="Balk9"/>
    <w:semiHidden/>
    <w:locked/>
    <w:rsid w:val="0047783A"/>
    <w:rPr>
      <w:rFonts w:ascii="Arial" w:hAnsi="Arial"/>
      <w:b/>
      <w:i/>
      <w:snapToGrid w:val="0"/>
      <w:sz w:val="18"/>
      <w:lang w:val="sv-SE" w:eastAsia="en-US" w:bidi="ar-SA"/>
    </w:rPr>
  </w:style>
  <w:style w:type="character" w:customStyle="1" w:styleId="KonuBalChar">
    <w:name w:val="Konu Başlığı Char"/>
    <w:link w:val="KonuBal"/>
    <w:locked/>
    <w:rsid w:val="0047783A"/>
    <w:rPr>
      <w:rFonts w:ascii="Arial" w:hAnsi="Arial"/>
      <w:b/>
      <w:snapToGrid w:val="0"/>
      <w:sz w:val="28"/>
      <w:lang w:val="fr-BE" w:eastAsia="en-US" w:bidi="ar-SA"/>
    </w:rPr>
  </w:style>
  <w:style w:type="character" w:customStyle="1" w:styleId="AltyazChar">
    <w:name w:val="Altyazı Char"/>
    <w:link w:val="Altyaz"/>
    <w:locked/>
    <w:rsid w:val="0047783A"/>
    <w:rPr>
      <w:rFonts w:ascii="Arial" w:hAnsi="Arial"/>
      <w:b/>
      <w:snapToGrid w:val="0"/>
      <w:sz w:val="28"/>
      <w:lang w:val="fr-BE" w:eastAsia="en-US" w:bidi="ar-SA"/>
    </w:rPr>
  </w:style>
  <w:style w:type="character" w:customStyle="1" w:styleId="GvdeMetniGirintisiChar">
    <w:name w:val="Gövde Metni Girintisi Char"/>
    <w:link w:val="GvdeMetniGirintisi"/>
    <w:semiHidden/>
    <w:locked/>
    <w:rsid w:val="0047783A"/>
    <w:rPr>
      <w:snapToGrid w:val="0"/>
      <w:sz w:val="24"/>
      <w:lang w:val="sv-SE" w:eastAsia="en-US" w:bidi="ar-SA"/>
    </w:rPr>
  </w:style>
  <w:style w:type="character" w:customStyle="1" w:styleId="GvdeMetniChar">
    <w:name w:val="Gövde Metni Char"/>
    <w:link w:val="GvdeMetni"/>
    <w:semiHidden/>
    <w:locked/>
    <w:rsid w:val="0047783A"/>
    <w:rPr>
      <w:rFonts w:ascii="Arial" w:hAnsi="Arial"/>
      <w:snapToGrid w:val="0"/>
      <w:lang w:val="sv-SE" w:eastAsia="en-US" w:bidi="ar-SA"/>
    </w:rPr>
  </w:style>
  <w:style w:type="character" w:customStyle="1" w:styleId="GvdeMetniGirintisi2Char">
    <w:name w:val="Gövde Metni Girintisi 2 Char"/>
    <w:link w:val="GvdeMetniGirintisi2"/>
    <w:semiHidden/>
    <w:locked/>
    <w:rsid w:val="0047783A"/>
    <w:rPr>
      <w:rFonts w:ascii="Arial" w:hAnsi="Arial"/>
      <w:snapToGrid w:val="0"/>
      <w:sz w:val="24"/>
      <w:u w:val="single"/>
      <w:lang w:val="sv-SE" w:eastAsia="en-US" w:bidi="ar-SA"/>
    </w:rPr>
  </w:style>
  <w:style w:type="character" w:customStyle="1" w:styleId="GvdeMetniGirintisi3Char">
    <w:name w:val="Gövde Metni Girintisi 3 Char"/>
    <w:link w:val="GvdeMetniGirintisi3"/>
    <w:semiHidden/>
    <w:locked/>
    <w:rsid w:val="0047783A"/>
    <w:rPr>
      <w:rFonts w:ascii="Arial" w:hAnsi="Arial"/>
      <w:snapToGrid w:val="0"/>
      <w:sz w:val="24"/>
      <w:lang w:val="sv-SE" w:eastAsia="en-US" w:bidi="ar-SA"/>
    </w:rPr>
  </w:style>
  <w:style w:type="character" w:customStyle="1" w:styleId="stBilgiChar">
    <w:name w:val="Üst Bilgi Char"/>
    <w:link w:val="stBilgi"/>
    <w:semiHidden/>
    <w:locked/>
    <w:rsid w:val="0047783A"/>
    <w:rPr>
      <w:rFonts w:ascii="Arial" w:hAnsi="Arial"/>
      <w:snapToGrid w:val="0"/>
      <w:lang w:val="sv-SE" w:eastAsia="en-US" w:bidi="ar-SA"/>
    </w:rPr>
  </w:style>
  <w:style w:type="character" w:customStyle="1" w:styleId="AltBilgiChar">
    <w:name w:val="Alt Bilgi Char"/>
    <w:link w:val="AltBilgi"/>
    <w:uiPriority w:val="99"/>
    <w:locked/>
    <w:rsid w:val="0047783A"/>
    <w:rPr>
      <w:rFonts w:ascii="Arial" w:hAnsi="Arial"/>
      <w:snapToGrid w:val="0"/>
      <w:lang w:val="sv-SE" w:eastAsia="en-US" w:bidi="ar-SA"/>
    </w:rPr>
  </w:style>
  <w:style w:type="character" w:customStyle="1" w:styleId="GvdeMetni3Char">
    <w:name w:val="Gövde Metni 3 Char"/>
    <w:link w:val="GvdeMetni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BelgeBalantlarChar">
    <w:name w:val="Belge Bağlantıları Char"/>
    <w:link w:val="BelgeBalantlar"/>
    <w:semiHidden/>
    <w:locked/>
    <w:rsid w:val="0047783A"/>
    <w:rPr>
      <w:rFonts w:ascii="Arial" w:hAnsi="Arial"/>
      <w:snapToGrid w:val="0"/>
      <w:sz w:val="24"/>
      <w:lang w:val="fr-FR" w:eastAsia="en-US" w:bidi="ar-SA"/>
    </w:rPr>
  </w:style>
  <w:style w:type="character" w:customStyle="1" w:styleId="GvdeMetni2Char">
    <w:name w:val="Gövde Metni 2 Char"/>
    <w:link w:val="GvdeMetni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SonnotBavurusu">
    <w:name w:val="endnote reference"/>
    <w:semiHidden/>
    <w:rsid w:val="0047783A"/>
    <w:rPr>
      <w:vertAlign w:val="superscript"/>
    </w:rPr>
  </w:style>
  <w:style w:type="paragraph" w:styleId="SonnotMetni">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AklamaBavurusu">
    <w:name w:val="annotation reference"/>
    <w:uiPriority w:val="99"/>
    <w:rsid w:val="00EE23B1"/>
    <w:rPr>
      <w:sz w:val="16"/>
      <w:szCs w:val="16"/>
    </w:rPr>
  </w:style>
  <w:style w:type="paragraph" w:styleId="AklamaMetni">
    <w:name w:val="annotation text"/>
    <w:basedOn w:val="Normal"/>
    <w:link w:val="AklamaMetniChar"/>
    <w:uiPriority w:val="99"/>
    <w:semiHidden/>
    <w:rsid w:val="00EE23B1"/>
  </w:style>
  <w:style w:type="paragraph" w:styleId="AklamaKonusu">
    <w:name w:val="annotation subject"/>
    <w:basedOn w:val="AklamaMetni"/>
    <w:next w:val="AklamaMetni"/>
    <w:semiHidden/>
    <w:rsid w:val="00EE23B1"/>
    <w:rPr>
      <w:b/>
      <w:bCs/>
    </w:rPr>
  </w:style>
  <w:style w:type="paragraph" w:styleId="ListeNumaras">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AklamaMetniChar">
    <w:name w:val="Açıklama Metni Char"/>
    <w:link w:val="AklamaMetni"/>
    <w:uiPriority w:val="99"/>
    <w:semiHidden/>
    <w:rsid w:val="00240B1F"/>
    <w:rPr>
      <w:rFonts w:ascii="Arial" w:hAnsi="Arial"/>
      <w:snapToGrid w:val="0"/>
      <w:lang w:eastAsia="en-US"/>
    </w:rPr>
  </w:style>
  <w:style w:type="paragraph" w:styleId="Dzeltme">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eParagraf">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VarsaylanParagrafYazTipi"/>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val="fr-BE" w:eastAsia="fr-BE"/>
    </w:rPr>
  </w:style>
  <w:style w:type="character" w:customStyle="1" w:styleId="UnresolvedMention">
    <w:name w:val="Unresolved Mention"/>
    <w:basedOn w:val="VarsaylanParagrafYazTipi"/>
    <w:uiPriority w:val="99"/>
    <w:semiHidden/>
    <w:unhideWhenUsed/>
    <w:rsid w:val="006A601D"/>
    <w:rPr>
      <w:color w:val="605E5C"/>
      <w:shd w:val="clear" w:color="auto" w:fill="E1DFDD"/>
    </w:rPr>
  </w:style>
  <w:style w:type="character" w:styleId="Vurgu">
    <w:name w:val="Emphasis"/>
    <w:qFormat/>
    <w:rsid w:val="00BF6C32"/>
    <w:rPr>
      <w:i/>
    </w:rPr>
  </w:style>
  <w:style w:type="character" w:customStyle="1" w:styleId="DipnotMetniChar">
    <w:name w:val="Dipnot Metni Char"/>
    <w:aliases w:val="Schriftart: 9 pt Char1,Schriftart: 10 pt Char1,Schriftart: 8 pt Char1,WB-Fußnotentext Char1,FoodNote Char1,ft Char1,Footnote Char1,Footnote Text Char Char Char1,Footnote Text Char1 Char Char Char1,fn Char1,f Char,Fußnote Char"/>
    <w:basedOn w:val="VarsaylanParagrafYazTipi"/>
    <w:link w:val="DipnotMetni"/>
    <w:uiPriority w:val="99"/>
    <w:rsid w:val="00283050"/>
    <w:rPr>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266811895">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 TargetMode="External"/><Relationship Id="rId13" Type="http://schemas.openxmlformats.org/officeDocument/2006/relationships/hyperlink" Target="https://wikis.ec.europa.eu/display/ExactExternalWiki/Annex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europa.eu/europeaid/funding/communication-and-visibility-manual-eu-external-actions_en"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10/20171007-9.ht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ib.gov.tr/uluslararasi_mevzua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fritsatinalma@aile.gov.t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52BE9-6148-4902-AE9A-1157112C7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2621</Words>
  <Characters>14944</Characters>
  <Application>Microsoft Office Word</Application>
  <DocSecurity>0</DocSecurity>
  <Lines>124</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17530</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Burak Yıldız</cp:lastModifiedBy>
  <cp:revision>6</cp:revision>
  <cp:lastPrinted>2014-02-11T14:32:00Z</cp:lastPrinted>
  <dcterms:created xsi:type="dcterms:W3CDTF">2026-03-25T08:51:00Z</dcterms:created>
  <dcterms:modified xsi:type="dcterms:W3CDTF">2026-04-20T11:25:00Z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